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0D502CF" w14:textId="77777777" w:rsidR="009B5349" w:rsidRDefault="009B534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14:paraId="1022349B" w14:textId="6FF50E08" w:rsidR="008A606A" w:rsidRPr="00B05265" w:rsidRDefault="00612165" w:rsidP="00091347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17.12.2025</w:t>
      </w:r>
    </w:p>
    <w:p w14:paraId="385B15F6" w14:textId="77777777" w:rsidR="00AA6EFE" w:rsidRPr="00B05265" w:rsidRDefault="00AA6EFE" w:rsidP="000913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14:ligatures w14:val="standardContextual"/>
        </w:rPr>
      </w:pPr>
    </w:p>
    <w:p w14:paraId="536A7645" w14:textId="77777777" w:rsidR="001F174F" w:rsidRPr="001F174F" w:rsidRDefault="001F174F" w:rsidP="001F174F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  <w14:ligatures w14:val="standardContextual"/>
        </w:rPr>
      </w:pPr>
      <w:r w:rsidRPr="001F174F">
        <w:rPr>
          <w:rFonts w:ascii="Times New Roman" w:hAnsi="Times New Roman" w:cs="Times New Roman"/>
          <w:b/>
          <w:bCs/>
          <w:sz w:val="24"/>
          <w:szCs w:val="24"/>
          <w14:ligatures w14:val="standardContextual"/>
        </w:rPr>
        <w:t>РЭЦ запустил новый бесплатный сервис «Экспортный ассистент»</w:t>
      </w:r>
    </w:p>
    <w:p w14:paraId="1ECEBDF7" w14:textId="77777777" w:rsidR="00160457" w:rsidRDefault="00160457" w:rsidP="0016045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14:ligatures w14:val="standardContextual"/>
        </w:rPr>
      </w:pPr>
    </w:p>
    <w:p w14:paraId="628E662F" w14:textId="588AE609" w:rsidR="00A92D03" w:rsidRPr="00A92D03" w:rsidRDefault="00A92D03" w:rsidP="00A92D0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14:ligatures w14:val="standardContextual"/>
        </w:rPr>
      </w:pPr>
      <w:r w:rsidRPr="00A92D03">
        <w:rPr>
          <w:rFonts w:ascii="Times New Roman" w:hAnsi="Times New Roman" w:cs="Times New Roman"/>
          <w:sz w:val="24"/>
          <w:szCs w:val="24"/>
          <w14:ligatures w14:val="standardContextual"/>
        </w:rPr>
        <w:t xml:space="preserve">Российский экспортный центр представил новый бесплатный сервис на цифровой платформе «Мой экспорт» </w:t>
      </w:r>
      <w:r>
        <w:rPr>
          <w:rFonts w:ascii="Times New Roman" w:hAnsi="Times New Roman" w:cs="Times New Roman"/>
          <w:sz w:val="24"/>
          <w:szCs w:val="24"/>
          <w14:ligatures w14:val="standardContextual"/>
        </w:rPr>
        <w:t>–</w:t>
      </w:r>
      <w:r w:rsidRPr="00A92D03">
        <w:rPr>
          <w:rFonts w:ascii="Times New Roman" w:hAnsi="Times New Roman" w:cs="Times New Roman"/>
          <w:sz w:val="24"/>
          <w:szCs w:val="24"/>
          <w14:ligatures w14:val="standardContextual"/>
        </w:rPr>
        <w:t xml:space="preserve"> «Экспортный ассистент». Запуск стал прямым ответом на ключевой запрос российского бизнеса: упростить навигацию среди множества доступных мер государственной и партнерской поддержки, подбор которых ранее требовал значительных временных затрат.</w:t>
      </w:r>
    </w:p>
    <w:p w14:paraId="4AFBC056" w14:textId="79530B24" w:rsidR="00A92D03" w:rsidRDefault="00A92D03" w:rsidP="00A92D0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14:ligatures w14:val="standardContextual"/>
        </w:rPr>
      </w:pPr>
      <w:r w:rsidRPr="00A92D03">
        <w:rPr>
          <w:rFonts w:ascii="Times New Roman" w:hAnsi="Times New Roman" w:cs="Times New Roman"/>
          <w:sz w:val="24"/>
          <w:szCs w:val="24"/>
          <w14:ligatures w14:val="standardContextual"/>
        </w:rPr>
        <w:t xml:space="preserve">«Экспортный ассистент» принципиально меняет подход к работе экспортеров с мерами поддержки, выступая в роли интеллектуального цифрового помощника. Он быстро и точно подбирает оптимальный набор инструментов </w:t>
      </w:r>
      <w:r>
        <w:rPr>
          <w:rFonts w:ascii="Times New Roman" w:hAnsi="Times New Roman" w:cs="Times New Roman"/>
          <w:sz w:val="24"/>
          <w:szCs w:val="24"/>
          <w14:ligatures w14:val="standardContextual"/>
        </w:rPr>
        <w:t>–</w:t>
      </w:r>
      <w:r w:rsidRPr="00A92D03">
        <w:rPr>
          <w:rFonts w:ascii="Times New Roman" w:hAnsi="Times New Roman" w:cs="Times New Roman"/>
          <w:sz w:val="24"/>
          <w:szCs w:val="24"/>
          <w14:ligatures w14:val="standardContextual"/>
        </w:rPr>
        <w:t xml:space="preserve"> от аналитики и сертификации до логистики и финансирования, </w:t>
      </w:r>
      <w:r>
        <w:rPr>
          <w:rFonts w:ascii="Times New Roman" w:hAnsi="Times New Roman" w:cs="Times New Roman"/>
          <w:sz w:val="24"/>
          <w:szCs w:val="24"/>
          <w14:ligatures w14:val="standardContextual"/>
        </w:rPr>
        <w:t>–</w:t>
      </w:r>
      <w:r w:rsidRPr="00A92D03">
        <w:rPr>
          <w:rFonts w:ascii="Times New Roman" w:hAnsi="Times New Roman" w:cs="Times New Roman"/>
          <w:sz w:val="24"/>
          <w:szCs w:val="24"/>
          <w14:ligatures w14:val="standardContextual"/>
        </w:rPr>
        <w:t xml:space="preserve"> исходя из уровня экспортной зрелости компании и специфики ее продукции. </w:t>
      </w:r>
    </w:p>
    <w:p w14:paraId="2B3AD58D" w14:textId="7F474DAC" w:rsidR="00160457" w:rsidRDefault="00612165" w:rsidP="00A92D0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14:ligatures w14:val="standardContextual"/>
        </w:rPr>
      </w:pPr>
      <w:r>
        <w:rPr>
          <w:rFonts w:ascii="Times New Roman" w:hAnsi="Times New Roman" w:cs="Times New Roman"/>
          <w:sz w:val="24"/>
          <w:szCs w:val="24"/>
          <w14:ligatures w14:val="standardContextual"/>
        </w:rPr>
        <w:t>Экспорте</w:t>
      </w:r>
      <w:r w:rsidRPr="00160457">
        <w:rPr>
          <w:rFonts w:ascii="Times New Roman" w:hAnsi="Times New Roman" w:cs="Times New Roman"/>
          <w:sz w:val="24"/>
          <w:szCs w:val="24"/>
          <w14:ligatures w14:val="standardContextual"/>
        </w:rPr>
        <w:t>ры</w:t>
      </w:r>
      <w:r w:rsidR="00160457" w:rsidRPr="00160457">
        <w:rPr>
          <w:rFonts w:ascii="Times New Roman" w:hAnsi="Times New Roman" w:cs="Times New Roman"/>
          <w:sz w:val="24"/>
          <w:szCs w:val="24"/>
          <w14:ligatures w14:val="standardContextual"/>
        </w:rPr>
        <w:t xml:space="preserve"> Красноярского края </w:t>
      </w:r>
      <w:r w:rsidR="00A92D03" w:rsidRPr="00A92D03">
        <w:rPr>
          <w:rFonts w:ascii="Times New Roman" w:hAnsi="Times New Roman" w:cs="Times New Roman"/>
          <w:sz w:val="24"/>
          <w:szCs w:val="24"/>
          <w14:ligatures w14:val="standardContextual"/>
        </w:rPr>
        <w:t xml:space="preserve">могут получить индивидуальную, автоматически сформированную дорожную карту, которая включает услуги, </w:t>
      </w:r>
      <w:r>
        <w:rPr>
          <w:rFonts w:ascii="Times New Roman" w:hAnsi="Times New Roman" w:cs="Times New Roman"/>
          <w:sz w:val="24"/>
          <w:szCs w:val="24"/>
          <w14:ligatures w14:val="standardContextual"/>
        </w:rPr>
        <w:t>максимально соответствующие</w:t>
      </w:r>
      <w:r w:rsidR="00A92D03" w:rsidRPr="00A92D03">
        <w:rPr>
          <w:rFonts w:ascii="Times New Roman" w:hAnsi="Times New Roman" w:cs="Times New Roman"/>
          <w:sz w:val="24"/>
          <w:szCs w:val="24"/>
          <w14:ligatures w14:val="standardContextual"/>
        </w:rPr>
        <w:t xml:space="preserve"> особенностям их бизнеса и экспортным целям.</w:t>
      </w:r>
      <w:r w:rsidR="00A92D03">
        <w:rPr>
          <w:rFonts w:ascii="Times New Roman" w:hAnsi="Times New Roman" w:cs="Times New Roman"/>
          <w:sz w:val="24"/>
          <w:szCs w:val="24"/>
          <w14:ligatures w14:val="standardContextual"/>
        </w:rPr>
        <w:t xml:space="preserve"> </w:t>
      </w:r>
      <w:r w:rsidR="00160457" w:rsidRPr="00160457">
        <w:rPr>
          <w:rFonts w:ascii="Times New Roman" w:hAnsi="Times New Roman" w:cs="Times New Roman"/>
          <w:sz w:val="24"/>
          <w:szCs w:val="24"/>
          <w14:ligatures w14:val="standardContextual"/>
        </w:rPr>
        <w:t>За каждой компанией закрепляется персональный менеджер, который сопровождает процесс: от корректного оформления заявок и взаимодействия со специалистами до контроля</w:t>
      </w:r>
      <w:r w:rsidR="00160457">
        <w:rPr>
          <w:rFonts w:ascii="Times New Roman" w:hAnsi="Times New Roman" w:cs="Times New Roman"/>
          <w:sz w:val="24"/>
          <w:szCs w:val="24"/>
          <w14:ligatures w14:val="standardContextual"/>
        </w:rPr>
        <w:t xml:space="preserve"> </w:t>
      </w:r>
      <w:r w:rsidR="00160457" w:rsidRPr="00160457">
        <w:rPr>
          <w:rFonts w:ascii="Times New Roman" w:hAnsi="Times New Roman" w:cs="Times New Roman"/>
          <w:sz w:val="24"/>
          <w:szCs w:val="24"/>
          <w14:ligatures w14:val="standardContextual"/>
        </w:rPr>
        <w:t>выполнения задач.</w:t>
      </w:r>
      <w:r w:rsidR="00A92D03" w:rsidRPr="00A92D03">
        <w:rPr>
          <w:rFonts w:ascii="Times New Roman" w:hAnsi="Times New Roman" w:cs="Times New Roman"/>
          <w:sz w:val="24"/>
          <w:szCs w:val="24"/>
          <w14:ligatures w14:val="standardContextual"/>
        </w:rPr>
        <w:t xml:space="preserve"> Как отметил руководитель центра «Мой бизнес» Красноярского края Павел Кириллов: </w:t>
      </w:r>
      <w:r w:rsidR="00A92D03" w:rsidRPr="00A92D03">
        <w:rPr>
          <w:rFonts w:ascii="Times New Roman" w:hAnsi="Times New Roman" w:cs="Times New Roman"/>
          <w:i/>
          <w:iCs/>
          <w:sz w:val="24"/>
          <w:szCs w:val="24"/>
          <w14:ligatures w14:val="standardContextual"/>
        </w:rPr>
        <w:t>«Запуск “Экспортного ассистента” открывает новые возможности для красноярских компаний, и мы готовы предоставить дополнительную консультационную и практическую помощь нашим предпринимателям в освоении экспортных рынков».</w:t>
      </w:r>
    </w:p>
    <w:p w14:paraId="0B1F5493" w14:textId="589FCBF4" w:rsidR="00160457" w:rsidRPr="00160457" w:rsidRDefault="00160457" w:rsidP="00D14A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14:ligatures w14:val="standardContextual"/>
        </w:rPr>
      </w:pPr>
      <w:r w:rsidRPr="00160457">
        <w:rPr>
          <w:rFonts w:ascii="Times New Roman" w:hAnsi="Times New Roman" w:cs="Times New Roman"/>
          <w:sz w:val="24"/>
          <w:szCs w:val="24"/>
          <w14:ligatures w14:val="standardContextual"/>
        </w:rPr>
        <w:t xml:space="preserve">Сервис полностью бесплатен для всех российских предприятий, развивающих экспорт, и доступен в онлайн-формате. </w:t>
      </w:r>
      <w:r w:rsidR="00D14A66" w:rsidRPr="00D14A66">
        <w:rPr>
          <w:rFonts w:ascii="Times New Roman" w:hAnsi="Times New Roman" w:cs="Times New Roman"/>
          <w:sz w:val="24"/>
          <w:szCs w:val="24"/>
          <w14:ligatures w14:val="standardContextual"/>
        </w:rPr>
        <w:t>Для начинающих экспортеров «Экспортный ассистент» позволяет определить перспективные страны, оценить спрос и подготовить продукцию к экспорту. В то же время, опытным компаниям сервис помогает масштабировать деятельность, оптимизировать логистику, снизить риски и выйти на новые рынки.</w:t>
      </w:r>
    </w:p>
    <w:p w14:paraId="4F2BAC0D" w14:textId="0A00B776" w:rsidR="00160457" w:rsidRPr="00160457" w:rsidRDefault="00160457" w:rsidP="001604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14:ligatures w14:val="standardContextual"/>
        </w:rPr>
      </w:pPr>
      <w:r w:rsidRPr="00160457">
        <w:rPr>
          <w:rFonts w:ascii="Times New Roman" w:hAnsi="Times New Roman" w:cs="Times New Roman"/>
          <w:sz w:val="24"/>
          <w:szCs w:val="24"/>
          <w14:ligatures w14:val="standardContextual"/>
        </w:rPr>
        <w:t>Воспользоваться сервисом максимально просто: достаточно авторизоваться на платформе «Мой</w:t>
      </w:r>
      <w:r>
        <w:rPr>
          <w:rFonts w:ascii="Times New Roman" w:hAnsi="Times New Roman" w:cs="Times New Roman"/>
          <w:sz w:val="24"/>
          <w:szCs w:val="24"/>
          <w14:ligatures w14:val="standardContextual"/>
        </w:rPr>
        <w:t xml:space="preserve"> </w:t>
      </w:r>
      <w:r w:rsidRPr="00160457">
        <w:rPr>
          <w:rFonts w:ascii="Times New Roman" w:hAnsi="Times New Roman" w:cs="Times New Roman"/>
          <w:sz w:val="24"/>
          <w:szCs w:val="24"/>
          <w14:ligatures w14:val="standardContextual"/>
        </w:rPr>
        <w:t xml:space="preserve">экспорт», заполнить короткую анкету, и система </w:t>
      </w:r>
      <w:r w:rsidR="00427C44">
        <w:rPr>
          <w:rFonts w:ascii="Times New Roman" w:hAnsi="Times New Roman" w:cs="Times New Roman"/>
          <w:sz w:val="24"/>
          <w:szCs w:val="24"/>
          <w14:ligatures w14:val="standardContextual"/>
        </w:rPr>
        <w:t>с</w:t>
      </w:r>
      <w:r w:rsidRPr="00160457">
        <w:rPr>
          <w:rFonts w:ascii="Times New Roman" w:hAnsi="Times New Roman" w:cs="Times New Roman"/>
          <w:sz w:val="24"/>
          <w:szCs w:val="24"/>
          <w14:ligatures w14:val="standardContextual"/>
        </w:rPr>
        <w:t>формирует персональную дорожную карту с</w:t>
      </w:r>
      <w:r>
        <w:rPr>
          <w:rFonts w:ascii="Times New Roman" w:hAnsi="Times New Roman" w:cs="Times New Roman"/>
          <w:sz w:val="24"/>
          <w:szCs w:val="24"/>
          <w14:ligatures w14:val="standardContextual"/>
        </w:rPr>
        <w:t xml:space="preserve"> </w:t>
      </w:r>
      <w:r w:rsidRPr="00160457">
        <w:rPr>
          <w:rFonts w:ascii="Times New Roman" w:hAnsi="Times New Roman" w:cs="Times New Roman"/>
          <w:sz w:val="24"/>
          <w:szCs w:val="24"/>
          <w14:ligatures w14:val="standardContextual"/>
        </w:rPr>
        <w:t>возможностью оформления заявок в онлайн-формате.</w:t>
      </w:r>
    </w:p>
    <w:p w14:paraId="4B0D23C7" w14:textId="77777777" w:rsidR="00160457" w:rsidRDefault="00160457" w:rsidP="0016045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14:ligatures w14:val="standardContextual"/>
        </w:rPr>
      </w:pPr>
    </w:p>
    <w:p w14:paraId="24DA485F" w14:textId="36E35A54" w:rsidR="00160457" w:rsidRPr="00160457" w:rsidRDefault="00160457" w:rsidP="0016045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14:ligatures w14:val="standardContextual"/>
        </w:rPr>
      </w:pPr>
      <w:r w:rsidRPr="00160457">
        <w:rPr>
          <w:rFonts w:ascii="Times New Roman" w:hAnsi="Times New Roman" w:cs="Times New Roman"/>
          <w:b/>
          <w:bCs/>
          <w:i/>
          <w:iCs/>
          <w:sz w:val="24"/>
          <w:szCs w:val="24"/>
          <w14:ligatures w14:val="standardContextual"/>
        </w:rPr>
        <w:t>Для справки</w:t>
      </w:r>
    </w:p>
    <w:p w14:paraId="2FA7D860" w14:textId="77777777" w:rsidR="00160457" w:rsidRDefault="00160457" w:rsidP="0016045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14:ligatures w14:val="standardContextual"/>
        </w:rPr>
      </w:pPr>
    </w:p>
    <w:p w14:paraId="59165C6F" w14:textId="2CD37405" w:rsidR="0025222E" w:rsidRDefault="004B2A37" w:rsidP="004B2A3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14:ligatures w14:val="standardContextual"/>
        </w:rPr>
      </w:pPr>
      <w:bookmarkStart w:id="0" w:name="_Hlk215502277"/>
      <w:r w:rsidRPr="004B2A37">
        <w:rPr>
          <w:rFonts w:ascii="Times New Roman" w:hAnsi="Times New Roman" w:cs="Times New Roman"/>
          <w:sz w:val="24"/>
          <w:szCs w:val="24"/>
          <w14:ligatures w14:val="standardContextual"/>
        </w:rPr>
        <w:t xml:space="preserve">Российский экспортный центр (РЭЦ, Группа ВЭБ) является государственным институтом, который поддерживает несырьевой неэнергетический экспорт. Он предоставляет компаниям из различных отраслей как финансовую, так и нефинансовую помощь на всех этапах выхода на международные рынки, в том числе </w:t>
      </w:r>
      <w:r w:rsidR="00427C44" w:rsidRPr="00427C44">
        <w:rPr>
          <w:rFonts w:ascii="Times New Roman" w:hAnsi="Times New Roman" w:cs="Times New Roman"/>
          <w:b/>
          <w:bCs/>
          <w:sz w:val="24"/>
          <w:szCs w:val="24"/>
          <w14:ligatures w14:val="standardContextual"/>
        </w:rPr>
        <w:t>в рамках</w:t>
      </w:r>
      <w:r w:rsidR="00427C44">
        <w:rPr>
          <w:rFonts w:ascii="Times New Roman" w:hAnsi="Times New Roman" w:cs="Times New Roman"/>
          <w:b/>
          <w:bCs/>
          <w:sz w:val="24"/>
          <w:szCs w:val="24"/>
          <w14:ligatures w14:val="standardContextual"/>
        </w:rPr>
        <w:t xml:space="preserve"> нац</w:t>
      </w:r>
      <w:r w:rsidRPr="00A23FAD">
        <w:rPr>
          <w:rFonts w:ascii="Times New Roman" w:hAnsi="Times New Roman" w:cs="Times New Roman"/>
          <w:b/>
          <w:bCs/>
          <w:sz w:val="24"/>
          <w:szCs w:val="24"/>
          <w14:ligatures w14:val="standardContextual"/>
        </w:rPr>
        <w:t>проекта «Международная кооперация и экспорт».</w:t>
      </w:r>
      <w:r w:rsidRPr="004B2A37">
        <w:rPr>
          <w:rFonts w:ascii="Times New Roman" w:hAnsi="Times New Roman" w:cs="Times New Roman"/>
          <w:sz w:val="24"/>
          <w:szCs w:val="24"/>
          <w14:ligatures w14:val="standardContextual"/>
        </w:rPr>
        <w:t xml:space="preserve"> Большинство услуг, предлагаемых Группой РЭЦ, доступны в онлайн-формате на государственной цифровой платформе «Мой экспорт». Также на РЭЦ возложены основные функции </w:t>
      </w:r>
      <w:bookmarkStart w:id="1" w:name="_GoBack"/>
      <w:bookmarkEnd w:id="1"/>
      <w:r w:rsidRPr="004B2A37">
        <w:rPr>
          <w:rFonts w:ascii="Times New Roman" w:hAnsi="Times New Roman" w:cs="Times New Roman"/>
          <w:sz w:val="24"/>
          <w:szCs w:val="24"/>
          <w14:ligatures w14:val="standardContextual"/>
        </w:rPr>
        <w:t>по обеспечению и реализации программы «Сделано в России».</w:t>
      </w:r>
    </w:p>
    <w:p w14:paraId="36748756" w14:textId="77777777" w:rsidR="004B2A37" w:rsidRPr="00B05265" w:rsidRDefault="004B2A37" w:rsidP="0016045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14:ligatures w14:val="standardContextual"/>
        </w:rPr>
      </w:pPr>
    </w:p>
    <w:bookmarkEnd w:id="0"/>
    <w:p w14:paraId="337D3DB7" w14:textId="77777777" w:rsidR="00091347" w:rsidRPr="00B05265" w:rsidRDefault="00091347" w:rsidP="00E82B1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00C85DB" w14:textId="77777777" w:rsidR="00612165" w:rsidRDefault="00612165" w:rsidP="0061216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i/>
          <w:sz w:val="24"/>
          <w:szCs w:val="24"/>
        </w:rPr>
        <w:t>Дополнительная информация для СМИ: + 7 (391) 222-55-03, пресс-служба агентства развития малого и среднего предпринимательства Красноярского края, + 7 (391) 205-44-32 (доб. 043), пресс-служба центра «Мой бизнес».</w:t>
      </w:r>
    </w:p>
    <w:p w14:paraId="19AEFEA6" w14:textId="3CCE664D" w:rsidR="00D9650E" w:rsidRPr="00D9650E" w:rsidRDefault="00D9650E" w:rsidP="00612165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  <w14:ligatures w14:val="standardContextual"/>
        </w:rPr>
      </w:pPr>
    </w:p>
    <w:sectPr w:rsidR="00D9650E" w:rsidRPr="00D9650E">
      <w:headerReference w:type="default" r:id="rId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66B99ED" w14:textId="77777777" w:rsidR="006A2030" w:rsidRDefault="006A2030">
      <w:pPr>
        <w:spacing w:after="0" w:line="240" w:lineRule="auto"/>
      </w:pPr>
      <w:r>
        <w:separator/>
      </w:r>
    </w:p>
  </w:endnote>
  <w:endnote w:type="continuationSeparator" w:id="0">
    <w:p w14:paraId="3D67D742" w14:textId="77777777" w:rsidR="006A2030" w:rsidRDefault="006A20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8D74868" w14:textId="77777777" w:rsidR="006A2030" w:rsidRDefault="006A2030">
      <w:pPr>
        <w:spacing w:after="0" w:line="240" w:lineRule="auto"/>
      </w:pPr>
      <w:r>
        <w:separator/>
      </w:r>
    </w:p>
  </w:footnote>
  <w:footnote w:type="continuationSeparator" w:id="0">
    <w:p w14:paraId="3D3E0E92" w14:textId="77777777" w:rsidR="006A2030" w:rsidRDefault="006A20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03482EB" w14:textId="77777777" w:rsidR="009B5349" w:rsidRDefault="000C61EE">
    <w:pPr>
      <w:pStyle w:val="af6"/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243120E9" wp14:editId="0BC85461">
          <wp:simplePos x="0" y="0"/>
          <wp:positionH relativeFrom="column">
            <wp:posOffset>4044315</wp:posOffset>
          </wp:positionH>
          <wp:positionV relativeFrom="paragraph">
            <wp:posOffset>-449580</wp:posOffset>
          </wp:positionV>
          <wp:extent cx="1676400" cy="1676400"/>
          <wp:effectExtent l="0" t="0" r="0" b="0"/>
          <wp:wrapTight wrapText="bothSides">
            <wp:wrapPolygon edited="1">
              <wp:start x="18164" y="4909"/>
              <wp:lineTo x="7364" y="6873"/>
              <wp:lineTo x="1964" y="8100"/>
              <wp:lineTo x="2209" y="13255"/>
              <wp:lineTo x="10064" y="14727"/>
              <wp:lineTo x="10800" y="15218"/>
              <wp:lineTo x="12027" y="15218"/>
              <wp:lineTo x="13991" y="14727"/>
              <wp:lineTo x="14727" y="14236"/>
              <wp:lineTo x="14236" y="13255"/>
              <wp:lineTo x="16936" y="13255"/>
              <wp:lineTo x="19391" y="11291"/>
              <wp:lineTo x="19636" y="4909"/>
              <wp:lineTo x="18164" y="4909"/>
            </wp:wrapPolygon>
          </wp:wrapTight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313979" name="Рисунок 60313979"/>
                  <pic:cNvPicPr>
                    <a:picLocks noChangeAspect="1"/>
                  </pic:cNvPicPr>
                </pic:nvPicPr>
                <pic:blipFill>
                  <a:blip r:embed="rId1"/>
                  <a:stretch/>
                </pic:blipFill>
                <pic:spPr bwMode="auto">
                  <a:xfrm>
                    <a:off x="0" y="0"/>
                    <a:ext cx="1676400" cy="1676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ru-RU"/>
      </w:rPr>
      <w:drawing>
        <wp:anchor distT="0" distB="0" distL="114300" distR="114300" simplePos="0" relativeHeight="251658240" behindDoc="0" locked="0" layoutInCell="1" allowOverlap="1" wp14:anchorId="1F59B687" wp14:editId="4FBC0FBD">
          <wp:simplePos x="0" y="0"/>
          <wp:positionH relativeFrom="page">
            <wp:align>center</wp:align>
          </wp:positionH>
          <wp:positionV relativeFrom="paragraph">
            <wp:posOffset>41275</wp:posOffset>
          </wp:positionV>
          <wp:extent cx="1539240" cy="608330"/>
          <wp:effectExtent l="0" t="0" r="3810" b="1270"/>
          <wp:wrapSquare wrapText="bothSides"/>
          <wp:docPr id="2" name="Рисунок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36142269" name="Рисунок 1036142269"/>
                  <pic:cNvPicPr>
                    <a:picLocks noChangeAspect="1"/>
                  </pic:cNvPicPr>
                </pic:nvPicPr>
                <pic:blipFill>
                  <a:blip r:embed="rId2"/>
                  <a:stretch/>
                </pic:blipFill>
                <pic:spPr bwMode="auto">
                  <a:xfrm>
                    <a:off x="0" y="0"/>
                    <a:ext cx="1539240" cy="6083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Times New Roman" w:hAnsi="Times New Roman" w:cs="Times New Roman"/>
        <w:b/>
        <w:bCs/>
        <w:noProof/>
        <w:sz w:val="24"/>
        <w:szCs w:val="24"/>
        <w:lang w:eastAsia="ru-RU"/>
      </w:rPr>
      <w:drawing>
        <wp:anchor distT="0" distB="0" distL="114300" distR="114300" simplePos="0" relativeHeight="251661312" behindDoc="0" locked="0" layoutInCell="1" allowOverlap="1" wp14:anchorId="7CB4B66D" wp14:editId="3BC75B99">
          <wp:simplePos x="0" y="0"/>
          <wp:positionH relativeFrom="margin">
            <wp:posOffset>300990</wp:posOffset>
          </wp:positionH>
          <wp:positionV relativeFrom="paragraph">
            <wp:posOffset>7620</wp:posOffset>
          </wp:positionV>
          <wp:extent cx="971550" cy="725170"/>
          <wp:effectExtent l="0" t="0" r="0" b="0"/>
          <wp:wrapSquare wrapText="bothSides"/>
          <wp:docPr id="3" name="Рисунок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Рисунок 3"/>
                  <pic:cNvPicPr>
                    <a:picLocks noChangeAspect="1"/>
                  </pic:cNvPicPr>
                </pic:nvPicPr>
                <pic:blipFill>
                  <a:blip r:embed="rId3"/>
                  <a:stretch/>
                </pic:blipFill>
                <pic:spPr bwMode="auto">
                  <a:xfrm>
                    <a:off x="0" y="0"/>
                    <a:ext cx="971550" cy="7251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98F6C07" w14:textId="77777777" w:rsidR="009B5349" w:rsidRDefault="009B5349">
    <w:pPr>
      <w:pStyle w:val="af6"/>
    </w:pPr>
  </w:p>
  <w:p w14:paraId="6E302FA4" w14:textId="77777777" w:rsidR="009B5349" w:rsidRDefault="009B5349">
    <w:pPr>
      <w:pStyle w:val="af6"/>
    </w:pPr>
  </w:p>
  <w:p w14:paraId="49A0A462" w14:textId="77777777" w:rsidR="009B5349" w:rsidRDefault="009B5349">
    <w:pPr>
      <w:pStyle w:val="af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623449"/>
    <w:multiLevelType w:val="multilevel"/>
    <w:tmpl w:val="0E40FA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5A66050"/>
    <w:multiLevelType w:val="hybridMultilevel"/>
    <w:tmpl w:val="4266D1B2"/>
    <w:lvl w:ilvl="0" w:tplc="544691D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E95278A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F0581A6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DCBEFD48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3732021E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A63CDD2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CF047312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0D90A71E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C158D954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9AB20A3"/>
    <w:multiLevelType w:val="hybridMultilevel"/>
    <w:tmpl w:val="71DA4D8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2BA91C60"/>
    <w:multiLevelType w:val="hybridMultilevel"/>
    <w:tmpl w:val="7D92D9E8"/>
    <w:lvl w:ilvl="0" w:tplc="E1A0748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332542BE"/>
    <w:multiLevelType w:val="multilevel"/>
    <w:tmpl w:val="44A610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6A878BC"/>
    <w:multiLevelType w:val="multilevel"/>
    <w:tmpl w:val="107A93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E1D2194"/>
    <w:multiLevelType w:val="hybridMultilevel"/>
    <w:tmpl w:val="CFDA9506"/>
    <w:lvl w:ilvl="0" w:tplc="7CA4292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F346886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F192359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583437A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A36CFAA6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72BE4BCA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F5E2710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96F83FD4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133AF6CC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825686A"/>
    <w:multiLevelType w:val="hybridMultilevel"/>
    <w:tmpl w:val="085AB4EE"/>
    <w:lvl w:ilvl="0" w:tplc="A03CA7F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65C003A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0F6AD6C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1194AC3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782EFCB8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B7C8E14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F0CECF5E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CC848A5C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6DAE4942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5BF5713"/>
    <w:multiLevelType w:val="hybridMultilevel"/>
    <w:tmpl w:val="7388A4CA"/>
    <w:lvl w:ilvl="0" w:tplc="80887E66">
      <w:numFmt w:val="bullet"/>
      <w:lvlText w:val="•"/>
      <w:lvlJc w:val="left"/>
      <w:pPr>
        <w:ind w:left="1069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9166C9F"/>
    <w:multiLevelType w:val="hybridMultilevel"/>
    <w:tmpl w:val="7660CEFC"/>
    <w:lvl w:ilvl="0" w:tplc="80887E66">
      <w:numFmt w:val="bullet"/>
      <w:lvlText w:val="•"/>
      <w:lvlJc w:val="left"/>
      <w:pPr>
        <w:ind w:left="1069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0" w15:restartNumberingAfterBreak="0">
    <w:nsid w:val="5B8E3211"/>
    <w:multiLevelType w:val="multilevel"/>
    <w:tmpl w:val="EF54E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3696E45"/>
    <w:multiLevelType w:val="hybridMultilevel"/>
    <w:tmpl w:val="240C26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AA62748"/>
    <w:multiLevelType w:val="multilevel"/>
    <w:tmpl w:val="76DEB3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32A6AC9"/>
    <w:multiLevelType w:val="hybridMultilevel"/>
    <w:tmpl w:val="F25AF4FC"/>
    <w:lvl w:ilvl="0" w:tplc="07DE143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EA5A3F0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9C6ED51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8C2C01FA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3B686ED8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C34E168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8E4EE71A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4CDCE818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884404E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7"/>
  </w:num>
  <w:num w:numId="3">
    <w:abstractNumId w:val="1"/>
  </w:num>
  <w:num w:numId="4">
    <w:abstractNumId w:val="13"/>
  </w:num>
  <w:num w:numId="5">
    <w:abstractNumId w:val="11"/>
  </w:num>
  <w:num w:numId="6">
    <w:abstractNumId w:val="4"/>
  </w:num>
  <w:num w:numId="7">
    <w:abstractNumId w:val="5"/>
  </w:num>
  <w:num w:numId="8">
    <w:abstractNumId w:val="12"/>
  </w:num>
  <w:num w:numId="9">
    <w:abstractNumId w:val="3"/>
  </w:num>
  <w:num w:numId="10">
    <w:abstractNumId w:val="2"/>
  </w:num>
  <w:num w:numId="11">
    <w:abstractNumId w:val="9"/>
  </w:num>
  <w:num w:numId="12">
    <w:abstractNumId w:val="8"/>
  </w:num>
  <w:num w:numId="13">
    <w:abstractNumId w:val="0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5349"/>
    <w:rsid w:val="00020712"/>
    <w:rsid w:val="00024109"/>
    <w:rsid w:val="0003498C"/>
    <w:rsid w:val="00036653"/>
    <w:rsid w:val="000528BF"/>
    <w:rsid w:val="00057FE6"/>
    <w:rsid w:val="00062089"/>
    <w:rsid w:val="00080227"/>
    <w:rsid w:val="00091347"/>
    <w:rsid w:val="000C2AFB"/>
    <w:rsid w:val="000C61EE"/>
    <w:rsid w:val="000F52D9"/>
    <w:rsid w:val="0010566A"/>
    <w:rsid w:val="00110BA0"/>
    <w:rsid w:val="00154639"/>
    <w:rsid w:val="00160457"/>
    <w:rsid w:val="001D7CFA"/>
    <w:rsid w:val="001E3E41"/>
    <w:rsid w:val="001F174F"/>
    <w:rsid w:val="001F75BB"/>
    <w:rsid w:val="002265A4"/>
    <w:rsid w:val="00250531"/>
    <w:rsid w:val="0025222E"/>
    <w:rsid w:val="00256FDD"/>
    <w:rsid w:val="00295ACA"/>
    <w:rsid w:val="002B2D4C"/>
    <w:rsid w:val="00302918"/>
    <w:rsid w:val="00310D4B"/>
    <w:rsid w:val="0031232F"/>
    <w:rsid w:val="00391BB1"/>
    <w:rsid w:val="003A2477"/>
    <w:rsid w:val="003D1764"/>
    <w:rsid w:val="003E450E"/>
    <w:rsid w:val="003E560D"/>
    <w:rsid w:val="00427C44"/>
    <w:rsid w:val="00446191"/>
    <w:rsid w:val="00452619"/>
    <w:rsid w:val="004776F2"/>
    <w:rsid w:val="00482A29"/>
    <w:rsid w:val="004B2A37"/>
    <w:rsid w:val="004D17A4"/>
    <w:rsid w:val="004F1946"/>
    <w:rsid w:val="004F4A2C"/>
    <w:rsid w:val="00511253"/>
    <w:rsid w:val="0053130F"/>
    <w:rsid w:val="005A4E4D"/>
    <w:rsid w:val="005B6B36"/>
    <w:rsid w:val="00612165"/>
    <w:rsid w:val="006232A7"/>
    <w:rsid w:val="00647265"/>
    <w:rsid w:val="00656E16"/>
    <w:rsid w:val="006A2030"/>
    <w:rsid w:val="006C0B42"/>
    <w:rsid w:val="006D67A8"/>
    <w:rsid w:val="006E4021"/>
    <w:rsid w:val="006F7F89"/>
    <w:rsid w:val="00710C46"/>
    <w:rsid w:val="00725321"/>
    <w:rsid w:val="007273C1"/>
    <w:rsid w:val="00731A51"/>
    <w:rsid w:val="00741251"/>
    <w:rsid w:val="007B2713"/>
    <w:rsid w:val="007D35EF"/>
    <w:rsid w:val="007D721D"/>
    <w:rsid w:val="007E74FC"/>
    <w:rsid w:val="00835AEB"/>
    <w:rsid w:val="00860664"/>
    <w:rsid w:val="008A447A"/>
    <w:rsid w:val="008A49BC"/>
    <w:rsid w:val="008A606A"/>
    <w:rsid w:val="008B1BF7"/>
    <w:rsid w:val="008B2564"/>
    <w:rsid w:val="008B6CAC"/>
    <w:rsid w:val="008C12B8"/>
    <w:rsid w:val="008E30CE"/>
    <w:rsid w:val="009002D2"/>
    <w:rsid w:val="009243EF"/>
    <w:rsid w:val="0094611B"/>
    <w:rsid w:val="00951166"/>
    <w:rsid w:val="009667B0"/>
    <w:rsid w:val="00986CC7"/>
    <w:rsid w:val="00994B6A"/>
    <w:rsid w:val="009A2A04"/>
    <w:rsid w:val="009A305E"/>
    <w:rsid w:val="009B5349"/>
    <w:rsid w:val="009C4BD4"/>
    <w:rsid w:val="009D2626"/>
    <w:rsid w:val="00A0741E"/>
    <w:rsid w:val="00A23FAD"/>
    <w:rsid w:val="00A2509D"/>
    <w:rsid w:val="00A26A71"/>
    <w:rsid w:val="00A362EF"/>
    <w:rsid w:val="00A42636"/>
    <w:rsid w:val="00A7321D"/>
    <w:rsid w:val="00A8204C"/>
    <w:rsid w:val="00A84493"/>
    <w:rsid w:val="00A92D03"/>
    <w:rsid w:val="00AA312B"/>
    <w:rsid w:val="00AA6EFE"/>
    <w:rsid w:val="00AB3098"/>
    <w:rsid w:val="00AC4E40"/>
    <w:rsid w:val="00B00BF9"/>
    <w:rsid w:val="00B0142D"/>
    <w:rsid w:val="00B05265"/>
    <w:rsid w:val="00B0649D"/>
    <w:rsid w:val="00B433BE"/>
    <w:rsid w:val="00B50C51"/>
    <w:rsid w:val="00B743AE"/>
    <w:rsid w:val="00BA146B"/>
    <w:rsid w:val="00BD3259"/>
    <w:rsid w:val="00BD42ED"/>
    <w:rsid w:val="00BE15F4"/>
    <w:rsid w:val="00C11091"/>
    <w:rsid w:val="00C36FDF"/>
    <w:rsid w:val="00C42772"/>
    <w:rsid w:val="00CB4952"/>
    <w:rsid w:val="00CC7A84"/>
    <w:rsid w:val="00CE49FF"/>
    <w:rsid w:val="00CE5A05"/>
    <w:rsid w:val="00CF2874"/>
    <w:rsid w:val="00D077CD"/>
    <w:rsid w:val="00D14A66"/>
    <w:rsid w:val="00D20E6B"/>
    <w:rsid w:val="00D33792"/>
    <w:rsid w:val="00D55571"/>
    <w:rsid w:val="00D6028D"/>
    <w:rsid w:val="00D9650E"/>
    <w:rsid w:val="00DB071F"/>
    <w:rsid w:val="00DC6639"/>
    <w:rsid w:val="00DC786E"/>
    <w:rsid w:val="00E10D1E"/>
    <w:rsid w:val="00E54318"/>
    <w:rsid w:val="00E57562"/>
    <w:rsid w:val="00E750DB"/>
    <w:rsid w:val="00E75471"/>
    <w:rsid w:val="00E82B1F"/>
    <w:rsid w:val="00EA45BF"/>
    <w:rsid w:val="00EC60AC"/>
    <w:rsid w:val="00EE2C46"/>
    <w:rsid w:val="00EE3995"/>
    <w:rsid w:val="00EF0DEF"/>
    <w:rsid w:val="00EF75A0"/>
    <w:rsid w:val="00F00023"/>
    <w:rsid w:val="00F16A95"/>
    <w:rsid w:val="00F6685E"/>
    <w:rsid w:val="00F67331"/>
    <w:rsid w:val="00F7493A"/>
    <w:rsid w:val="00F754C4"/>
    <w:rsid w:val="00F83BDD"/>
    <w:rsid w:val="00FB01C3"/>
    <w:rsid w:val="00FE17D9"/>
    <w:rsid w:val="00FE34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083725"/>
  <w15:docId w15:val="{66369C08-98EC-4ED4-8811-E499FC8194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200" w:line="276" w:lineRule="auto"/>
    </w:pPr>
    <w:rPr>
      <w14:ligatures w14:val="none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0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0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0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0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0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0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0"/>
    <w:uiPriority w:val="9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a0"/>
    <w:uiPriority w:val="10"/>
    <w:rPr>
      <w:sz w:val="48"/>
      <w:szCs w:val="48"/>
    </w:rPr>
  </w:style>
  <w:style w:type="character" w:customStyle="1" w:styleId="SubtitleChar">
    <w:name w:val="Subtitle Char"/>
    <w:basedOn w:val="a0"/>
    <w:uiPriority w:val="11"/>
    <w:rPr>
      <w:sz w:val="24"/>
      <w:szCs w:val="24"/>
    </w:rPr>
  </w:style>
  <w:style w:type="character" w:customStyle="1" w:styleId="QuoteChar">
    <w:name w:val="Quote Char"/>
    <w:uiPriority w:val="29"/>
    <w:rPr>
      <w:i/>
    </w:rPr>
  </w:style>
  <w:style w:type="character" w:customStyle="1" w:styleId="IntenseQuoteChar">
    <w:name w:val="Intense Quote Char"/>
    <w:uiPriority w:val="30"/>
    <w:rPr>
      <w:i/>
    </w:rPr>
  </w:style>
  <w:style w:type="character" w:customStyle="1" w:styleId="CaptionChar">
    <w:name w:val="Caption Char"/>
    <w:basedOn w:val="a0"/>
    <w:uiPriority w:val="35"/>
    <w:rPr>
      <w:b/>
      <w:bCs/>
      <w:color w:val="4472C4" w:themeColor="accent1"/>
      <w:sz w:val="18"/>
      <w:szCs w:val="18"/>
    </w:rPr>
  </w:style>
  <w:style w:type="character" w:customStyle="1" w:styleId="FootnoteTextChar">
    <w:name w:val="Footnote Text Char"/>
    <w:uiPriority w:val="99"/>
    <w:rPr>
      <w:sz w:val="18"/>
    </w:rPr>
  </w:style>
  <w:style w:type="character" w:customStyle="1" w:styleId="EndnoteTextChar">
    <w:name w:val="Endnote Text Char"/>
    <w:uiPriority w:val="99"/>
    <w:rPr>
      <w:sz w:val="20"/>
    </w:rPr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Заголовок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link w:val="ac"/>
    <w:uiPriority w:val="35"/>
    <w:semiHidden/>
    <w:unhideWhenUsed/>
    <w:qFormat/>
    <w:rPr>
      <w:b/>
      <w:bCs/>
      <w:color w:val="4472C4" w:themeColor="accent1"/>
      <w:sz w:val="18"/>
      <w:szCs w:val="18"/>
    </w:rPr>
  </w:style>
  <w:style w:type="character" w:customStyle="1" w:styleId="ac">
    <w:name w:val="Название объекта Знак"/>
    <w:basedOn w:val="a0"/>
    <w:link w:val="ab"/>
    <w:uiPriority w:val="35"/>
    <w:rPr>
      <w:b/>
      <w:bCs/>
      <w:color w:val="4472C4" w:themeColor="accent1"/>
      <w:sz w:val="18"/>
      <w:szCs w:val="18"/>
    </w:rPr>
  </w:style>
  <w:style w:type="table" w:styleId="ad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customStyle="1" w:styleId="11">
    <w:name w:val="Таблица простая 1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210">
    <w:name w:val="Таблица простая 21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31">
    <w:name w:val="Таблица простая 3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41">
    <w:name w:val="Таблица простая 4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51">
    <w:name w:val="Таблица простая 5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-11">
    <w:name w:val="Таблица-сетка 1 светл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-21">
    <w:name w:val="Таблица-сетка 2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37DC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B9BD5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31">
    <w:name w:val="Таблица-сетка 3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41">
    <w:name w:val="Таблица-сетка 4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  <w:insideV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37DC8" w:themeColor="accent1" w:themeTint="EA"/>
          <w:left w:val="single" w:sz="4" w:space="0" w:color="537DC8" w:themeColor="accent1" w:themeTint="EA"/>
          <w:bottom w:val="single" w:sz="4" w:space="0" w:color="537DC8" w:themeColor="accent1" w:themeTint="EA"/>
          <w:right w:val="single" w:sz="4" w:space="0" w:color="537DC8" w:themeColor="accent1" w:themeTint="EA"/>
        </w:tcBorders>
        <w:shd w:val="clear" w:color="537DC8" w:themeColor="accent1" w:themeTint="EA" w:fill="537DC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</w:tcBorders>
        <w:shd w:val="clear" w:color="5B9BD5" w:themeColor="accent5" w:fill="5B9BD5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51">
    <w:name w:val="Таблица-сетка 5 тем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1" w:themeTint="34" w:fill="D8E2F3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1" w:fill="4472C4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band1Vert">
      <w:tblPr/>
      <w:tcPr>
        <w:shd w:val="clear" w:color="A9BEE4" w:themeColor="accent1" w:themeTint="75" w:fill="A9BEE4" w:themeFill="accent1" w:themeFillTint="75"/>
      </w:tcPr>
    </w:tblStylePr>
    <w:tblStylePr w:type="band1Horz">
      <w:tblPr/>
      <w:tcPr>
        <w:shd w:val="clear" w:color="A9BEE4" w:themeColor="accent1" w:themeTint="75" w:fill="A9BEE4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5" w:themeTint="34" w:fill="DDEAF6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5" w:fill="5B9BD5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band1Vert">
      <w:tblPr/>
      <w:tcPr>
        <w:shd w:val="clear" w:color="B3D0EB" w:themeColor="accent5" w:themeTint="75" w:fill="B3D0EB" w:themeFill="accent5" w:themeFillTint="75"/>
      </w:tcPr>
    </w:tblStylePr>
    <w:tblStylePr w:type="band1Horz">
      <w:tblPr/>
      <w:tcPr>
        <w:shd w:val="clear" w:color="B3D0EB" w:themeColor="accent5" w:themeTint="75" w:fill="B3D0EB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customStyle="1" w:styleId="-61">
    <w:name w:val="Таблица-сетка 6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0B7E1" w:themeColor="accent1" w:themeTint="80"/>
        <w:left w:val="single" w:sz="4" w:space="0" w:color="A0B7E1" w:themeColor="accent1" w:themeTint="80"/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b/>
        <w:color w:val="A0B7E1" w:themeColor="accent1" w:themeTint="80" w:themeShade="95"/>
      </w:rPr>
      <w:tblPr/>
      <w:tcPr>
        <w:tcBorders>
          <w:bottom w:val="single" w:sz="12" w:space="0" w:color="A0B7E1" w:themeColor="accent1" w:themeTint="80"/>
        </w:tcBorders>
      </w:tcPr>
    </w:tblStylePr>
    <w:tblStylePr w:type="lastRow">
      <w:rPr>
        <w:b/>
        <w:color w:val="A0B7E1" w:themeColor="accent1" w:themeTint="80" w:themeShade="95"/>
      </w:rPr>
    </w:tblStylePr>
    <w:tblStylePr w:type="firstCol">
      <w:rPr>
        <w:b/>
        <w:color w:val="A0B7E1" w:themeColor="accent1" w:themeTint="80" w:themeShade="95"/>
      </w:rPr>
    </w:tblStylePr>
    <w:tblStylePr w:type="lastCol">
      <w:rPr>
        <w:b/>
        <w:color w:val="A0B7E1" w:themeColor="accent1" w:themeTint="80" w:themeShade="95"/>
      </w:r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5B9BD5" w:themeColor="accent5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-71">
    <w:name w:val="Таблица-сетка 7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7F7F7F" w:themeColor="text1" w:themeTint="8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single" w:sz="4" w:space="0" w:color="7F7F7F" w:themeColor="text1" w:themeTint="8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0B7E1" w:themeColor="accent1" w:themeTint="8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single" w:sz="4" w:space="0" w:color="A0B7E1" w:themeColor="accent1" w:themeTint="8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0B7E1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000000"/>
          <w:left w:val="single" w:sz="4" w:space="0" w:color="A0B7E1" w:themeColor="accent1" w:themeTint="8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F4B184" w:themeColor="accent2" w:themeTint="97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single" w:sz="4" w:space="0" w:color="F4B184" w:themeColor="accent2" w:themeTint="97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5A5A5" w:themeColor="accent3" w:themeTint="FE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000000"/>
          <w:left w:val="single" w:sz="4" w:space="0" w:color="A5A5A5" w:themeColor="accent3" w:themeTint="FE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FFD865" w:themeColor="accent4" w:themeTint="9A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single" w:sz="4" w:space="0" w:color="FFD865" w:themeColor="accent4" w:themeTint="9A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2C6E7" w:themeColor="accent5" w:themeTint="9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single" w:sz="4" w:space="0" w:color="A2C6E7" w:themeColor="accent5" w:themeTint="9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2C6E7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000000"/>
          <w:left w:val="single" w:sz="4" w:space="0" w:color="A2C6E7" w:themeColor="accent5" w:themeTint="9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DD394" w:themeColor="accent6" w:themeTint="9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000000"/>
          <w:left w:val="single" w:sz="4" w:space="0" w:color="ADD394" w:themeColor="accent6" w:themeTint="9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customStyle="1" w:styleId="-110">
    <w:name w:val="Список-таблица 1 светлая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210">
    <w:name w:val="Список-таблица 2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bottom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bottom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310">
    <w:name w:val="Список-таблица 3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472C4" w:themeColor="accent1"/>
          <w:bottom w:val="single" w:sz="4" w:space="0" w:color="4472C4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left w:val="single" w:sz="4" w:space="0" w:color="9BC2E5" w:themeColor="accent5" w:themeTint="9A"/>
        <w:bottom w:val="single" w:sz="4" w:space="0" w:color="9BC2E5" w:themeColor="accent5" w:themeTint="9A"/>
        <w:right w:val="single" w:sz="4" w:space="0" w:color="9BC2E5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C2E5" w:themeColor="accent5" w:themeTint="9A" w:fill="9BC2E5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BC2E5" w:themeColor="accent5" w:themeTint="9A"/>
          <w:right w:val="single" w:sz="4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BC2E5" w:themeColor="accent5" w:themeTint="9A"/>
          <w:bottom w:val="single" w:sz="4" w:space="0" w:color="9BC2E5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-410">
    <w:name w:val="Список-таблица 4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510">
    <w:name w:val="Список-таблица 5 тем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4472C4" w:themeColor="accent1"/>
        <w:left w:val="single" w:sz="32" w:space="0" w:color="4472C4" w:themeColor="accent1"/>
        <w:bottom w:val="single" w:sz="32" w:space="0" w:color="4472C4" w:themeColor="accent1"/>
        <w:right w:val="single" w:sz="32" w:space="0" w:color="4472C4" w:themeColor="accent1"/>
      </w:tblBorders>
      <w:shd w:val="clear" w:color="4472C4" w:themeColor="accent1" w:fill="4472C4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472C4" w:themeColor="accent1"/>
          <w:bottom w:val="single" w:sz="12" w:space="0" w:color="FFFFFF" w:themeColor="light1"/>
        </w:tcBorders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472C4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472C4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472C4" w:themeColor="accent1" w:fill="4472C4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9BC2E5" w:themeColor="accent5" w:themeTint="9A"/>
        <w:left w:val="single" w:sz="32" w:space="0" w:color="9BC2E5" w:themeColor="accent5" w:themeTint="9A"/>
        <w:bottom w:val="single" w:sz="32" w:space="0" w:color="9BC2E5" w:themeColor="accent5" w:themeTint="9A"/>
        <w:right w:val="single" w:sz="32" w:space="0" w:color="9BC2E5" w:themeColor="accent5" w:themeTint="9A"/>
      </w:tblBorders>
      <w:shd w:val="clear" w:color="9BC2E5" w:themeColor="accent5" w:themeTint="9A" w:fill="9BC2E5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BC2E5" w:themeColor="accent5" w:themeTint="9A"/>
          <w:bottom w:val="single" w:sz="12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BC2E5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BC2E5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customStyle="1" w:styleId="-610">
    <w:name w:val="Список-таблица 6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color w:val="254175" w:themeColor="accent1" w:themeShade="95"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color w:val="254175" w:themeColor="accent1" w:themeShade="95"/>
      </w:rPr>
      <w:tblPr/>
      <w:tcPr>
        <w:tcBorders>
          <w:top w:val="single" w:sz="4" w:space="0" w:color="4472C4" w:themeColor="accent1"/>
        </w:tcBorders>
      </w:tcPr>
    </w:tblStylePr>
    <w:tblStylePr w:type="firstCol">
      <w:rPr>
        <w:b/>
        <w:color w:val="254175" w:themeColor="accent1" w:themeShade="95"/>
      </w:rPr>
    </w:tblStylePr>
    <w:tblStylePr w:type="lastCol">
      <w:rPr>
        <w:b/>
        <w:color w:val="254175" w:themeColor="accent1" w:themeShade="95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bottom w:val="single" w:sz="4" w:space="0" w:color="9BC2E5" w:themeColor="accent5" w:themeTint="9A"/>
      </w:tblBorders>
    </w:tblPr>
    <w:tblStylePr w:type="firstRow">
      <w:rPr>
        <w:b/>
        <w:color w:val="9BC2E5" w:themeColor="accent5" w:themeTint="9A" w:themeShade="95"/>
      </w:rPr>
      <w:tblPr/>
      <w:tcPr>
        <w:tcBorders>
          <w:bottom w:val="single" w:sz="4" w:space="0" w:color="9BC2E5" w:themeColor="accent5" w:themeTint="9A"/>
        </w:tcBorders>
      </w:tcPr>
    </w:tblStylePr>
    <w:tblStylePr w:type="lastRow">
      <w:rPr>
        <w:b/>
        <w:color w:val="9BC2E5" w:themeColor="accent5" w:themeTint="9A" w:themeShade="95"/>
      </w:rPr>
      <w:tblPr/>
      <w:tcPr>
        <w:tcBorders>
          <w:top w:val="single" w:sz="4" w:space="0" w:color="9BC2E5" w:themeColor="accent5" w:themeTint="9A"/>
        </w:tcBorders>
      </w:tcPr>
    </w:tblStylePr>
    <w:tblStylePr w:type="firstCol">
      <w:rPr>
        <w:b/>
        <w:color w:val="9BC2E5" w:themeColor="accent5" w:themeTint="9A" w:themeShade="95"/>
      </w:rPr>
    </w:tblStylePr>
    <w:tblStylePr w:type="lastCol">
      <w:rPr>
        <w:b/>
        <w:color w:val="9BC2E5" w:themeColor="accent5" w:themeTint="9A" w:themeShade="95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-710">
    <w:name w:val="Список-таблица 7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7F7F7F" w:themeColor="text1" w:themeTint="8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single" w:sz="4" w:space="0" w:color="7F7F7F" w:themeColor="text1" w:themeTint="8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4472C4" w:themeColor="accent1"/>
      </w:tblBorders>
    </w:tblPr>
    <w:tblStylePr w:type="fir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4472C4" w:themeColor="accent1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single" w:sz="4" w:space="0" w:color="4472C4" w:themeColor="accent1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4472C4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000000"/>
          <w:left w:val="single" w:sz="4" w:space="0" w:color="4472C4" w:themeColor="accent1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F4B184" w:themeColor="accent2" w:themeTint="97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single" w:sz="4" w:space="0" w:color="F4B184" w:themeColor="accent2" w:themeTint="97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C9C9C9" w:themeColor="accent3" w:themeTint="98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000000"/>
          <w:left w:val="single" w:sz="4" w:space="0" w:color="C9C9C9" w:themeColor="accent3" w:themeTint="98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FFD865" w:themeColor="accent4" w:themeTint="9A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single" w:sz="4" w:space="0" w:color="FFD865" w:themeColor="accent4" w:themeTint="9A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9BC2E5" w:themeColor="accent5" w:themeTint="9A"/>
      </w:tblBorders>
    </w:tblPr>
    <w:tblStylePr w:type="fir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9BC2E5" w:themeColor="accent5" w:themeTint="9A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single" w:sz="4" w:space="0" w:color="9BC2E5" w:themeColor="accent5" w:themeTint="9A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9BC2E5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000000"/>
          <w:left w:val="single" w:sz="4" w:space="0" w:color="9BC2E5" w:themeColor="accent5" w:themeTint="9A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9D08E" w:themeColor="accent6" w:themeTint="98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000000"/>
          <w:left w:val="single" w:sz="4" w:space="0" w:color="A9D08E" w:themeColor="accent6" w:themeTint="98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254175" w:themeColor="accent1" w:themeShade="95"/>
        <w:left w:val="single" w:sz="4" w:space="0" w:color="254175" w:themeColor="accent1" w:themeShade="95"/>
        <w:bottom w:val="single" w:sz="4" w:space="0" w:color="254175" w:themeColor="accent1" w:themeShade="95"/>
        <w:right w:val="single" w:sz="4" w:space="0" w:color="254175" w:themeColor="accent1" w:themeShade="95"/>
        <w:insideH w:val="single" w:sz="4" w:space="0" w:color="254175" w:themeColor="accent1" w:themeShade="95"/>
        <w:insideV w:val="single" w:sz="4" w:space="0" w:color="254175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245A8D" w:themeColor="accent5" w:themeShade="95"/>
        <w:left w:val="single" w:sz="4" w:space="0" w:color="245A8D" w:themeColor="accent5" w:themeShade="95"/>
        <w:bottom w:val="single" w:sz="4" w:space="0" w:color="245A8D" w:themeColor="accent5" w:themeShade="95"/>
        <w:right w:val="single" w:sz="4" w:space="0" w:color="245A8D" w:themeColor="accent5" w:themeShade="95"/>
        <w:insideH w:val="single" w:sz="4" w:space="0" w:color="245A8D" w:themeColor="accent5" w:themeShade="95"/>
        <w:insideV w:val="single" w:sz="4" w:space="0" w:color="245A8D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472C4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472C4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BC2E5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BC2E5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table of figures"/>
    <w:basedOn w:val="a"/>
    <w:next w:val="a"/>
    <w:uiPriority w:val="99"/>
    <w:unhideWhenUsed/>
    <w:pPr>
      <w:spacing w:after="0"/>
    </w:pPr>
  </w:style>
  <w:style w:type="paragraph" w:styleId="af6">
    <w:name w:val="header"/>
    <w:basedOn w:val="a"/>
    <w:link w:val="af7"/>
    <w:uiPriority w:val="99"/>
    <w:unhideWhenUsed/>
    <w:pPr>
      <w:tabs>
        <w:tab w:val="center" w:pos="4677"/>
        <w:tab w:val="right" w:pos="9355"/>
      </w:tabs>
      <w:spacing w:after="0" w:line="240" w:lineRule="auto"/>
    </w:pPr>
    <w:rPr>
      <w14:ligatures w14:val="standardContextual"/>
    </w:rPr>
  </w:style>
  <w:style w:type="character" w:customStyle="1" w:styleId="af7">
    <w:name w:val="Верхний колонтитул Знак"/>
    <w:basedOn w:val="a0"/>
    <w:link w:val="af6"/>
    <w:uiPriority w:val="99"/>
  </w:style>
  <w:style w:type="paragraph" w:styleId="af8">
    <w:name w:val="footer"/>
    <w:basedOn w:val="a"/>
    <w:link w:val="af9"/>
    <w:uiPriority w:val="99"/>
    <w:unhideWhenUsed/>
    <w:pPr>
      <w:tabs>
        <w:tab w:val="center" w:pos="4677"/>
        <w:tab w:val="right" w:pos="9355"/>
      </w:tabs>
      <w:spacing w:after="0" w:line="240" w:lineRule="auto"/>
    </w:pPr>
    <w:rPr>
      <w14:ligatures w14:val="standardContextual"/>
    </w:rPr>
  </w:style>
  <w:style w:type="character" w:customStyle="1" w:styleId="af9">
    <w:name w:val="Нижний колонтитул Знак"/>
    <w:basedOn w:val="a0"/>
    <w:link w:val="af8"/>
    <w:uiPriority w:val="99"/>
  </w:style>
  <w:style w:type="character" w:styleId="afa">
    <w:name w:val="Hyperlink"/>
    <w:basedOn w:val="a0"/>
    <w:uiPriority w:val="99"/>
    <w:unhideWhenUsed/>
    <w:rPr>
      <w:color w:val="0000FF"/>
      <w:u w:val="single"/>
    </w:rPr>
  </w:style>
  <w:style w:type="character" w:styleId="afb">
    <w:name w:val="FollowedHyperlink"/>
    <w:basedOn w:val="a0"/>
    <w:uiPriority w:val="99"/>
    <w:semiHidden/>
    <w:unhideWhenUsed/>
    <w:rPr>
      <w:color w:val="954F72" w:themeColor="followedHyperlink"/>
      <w:u w:val="single"/>
    </w:rPr>
  </w:style>
  <w:style w:type="paragraph" w:styleId="afc">
    <w:name w:val="Normal (Web)"/>
    <w:basedOn w:val="a"/>
    <w:uiPriority w:val="99"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3">
    <w:name w:val="Неразрешенное упоминание1"/>
    <w:basedOn w:val="a0"/>
    <w:uiPriority w:val="99"/>
    <w:semiHidden/>
    <w:unhideWhenUsed/>
    <w:rPr>
      <w:color w:val="605E5C"/>
      <w:shd w:val="clear" w:color="auto" w:fill="E1DFDD"/>
    </w:rPr>
  </w:style>
  <w:style w:type="paragraph" w:styleId="afd">
    <w:name w:val="Balloon Text"/>
    <w:basedOn w:val="a"/>
    <w:link w:val="afe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e">
    <w:name w:val="Текст выноски Знак"/>
    <w:basedOn w:val="a0"/>
    <w:link w:val="afd"/>
    <w:uiPriority w:val="99"/>
    <w:semiHidden/>
    <w:rPr>
      <w:rFonts w:ascii="Segoe UI" w:hAnsi="Segoe UI" w:cs="Segoe UI"/>
      <w:sz w:val="18"/>
      <w:szCs w:val="18"/>
      <w14:ligatures w14:val="none"/>
    </w:rPr>
  </w:style>
  <w:style w:type="character" w:styleId="aff">
    <w:name w:val="Strong"/>
    <w:basedOn w:val="a0"/>
    <w:uiPriority w:val="22"/>
    <w:qFormat/>
    <w:rPr>
      <w:b/>
      <w:bCs/>
    </w:rPr>
  </w:style>
  <w:style w:type="character" w:styleId="aff0">
    <w:name w:val="Emphasis"/>
    <w:basedOn w:val="a0"/>
    <w:uiPriority w:val="20"/>
    <w:qFormat/>
    <w:rPr>
      <w:i/>
      <w:iCs/>
    </w:rPr>
  </w:style>
  <w:style w:type="character" w:customStyle="1" w:styleId="24">
    <w:name w:val="Неразрешенное упоминание2"/>
    <w:basedOn w:val="a0"/>
    <w:uiPriority w:val="99"/>
    <w:semiHidden/>
    <w:unhideWhenUsed/>
    <w:rPr>
      <w:color w:val="605E5C"/>
      <w:shd w:val="clear" w:color="auto" w:fill="E1DFDD"/>
    </w:rPr>
  </w:style>
  <w:style w:type="character" w:customStyle="1" w:styleId="33">
    <w:name w:val="Неразрешенное упоминание3"/>
    <w:basedOn w:val="a0"/>
    <w:uiPriority w:val="99"/>
    <w:semiHidden/>
    <w:unhideWhenUsed/>
    <w:rPr>
      <w:color w:val="605E5C"/>
      <w:shd w:val="clear" w:color="auto" w:fill="E1DFDD"/>
    </w:rPr>
  </w:style>
  <w:style w:type="character" w:customStyle="1" w:styleId="UnresolvedMention">
    <w:name w:val="Unresolved Mention"/>
    <w:basedOn w:val="a0"/>
    <w:uiPriority w:val="99"/>
    <w:semiHidden/>
    <w:unhideWhenUsed/>
    <w:rsid w:val="008A606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1183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1</Pages>
  <Words>427</Words>
  <Characters>2440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2862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Журбина Любовь Андреевна</dc:creator>
  <cp:lastModifiedBy>User</cp:lastModifiedBy>
  <cp:revision>8</cp:revision>
  <cp:lastPrinted>2025-07-17T09:10:00Z</cp:lastPrinted>
  <dcterms:created xsi:type="dcterms:W3CDTF">2025-12-01T10:26:00Z</dcterms:created>
  <dcterms:modified xsi:type="dcterms:W3CDTF">2025-12-17T08:30:00Z</dcterms:modified>
</cp:coreProperties>
</file>