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Pr="00AC7B51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4507B" w:rsidRPr="00AC7B51" w:rsidRDefault="004B5272" w:rsidP="0084507B">
      <w:pPr>
        <w:spacing w:after="0" w:line="240" w:lineRule="auto"/>
        <w:jc w:val="center"/>
        <w:rPr>
          <w:noProof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4507B"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Ермаковского района</w:t>
      </w:r>
    </w:p>
    <w:p w:rsidR="0084507B" w:rsidRPr="00AC7B51" w:rsidRDefault="0084507B" w:rsidP="0084507B">
      <w:pPr>
        <w:spacing w:after="0" w:line="240" w:lineRule="auto"/>
        <w:jc w:val="center"/>
        <w:rPr>
          <w:noProof/>
          <w:lang w:eastAsia="ru-RU"/>
        </w:rPr>
      </w:pPr>
    </w:p>
    <w:p w:rsidR="0084507B" w:rsidRDefault="00596FE6" w:rsidP="00596F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ПРЕСС-РЕЛИЗ</w:t>
      </w:r>
      <w:r w:rsidR="00712095" w:rsidRPr="00AC7B51">
        <w:rPr>
          <w:noProof/>
          <w:lang w:eastAsia="ru-RU"/>
        </w:rPr>
        <w:drawing>
          <wp:inline distT="0" distB="0" distL="0" distR="0" wp14:anchorId="37D5B709" wp14:editId="1CDBAA5D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69" w:rsidRDefault="001E1F79" w:rsidP="009F2169">
      <w:pPr>
        <w:spacing w:before="450" w:after="4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36"/>
          <w:lang w:eastAsia="ru-RU"/>
        </w:rPr>
        <w:t>Общедомовое имущество</w:t>
      </w:r>
    </w:p>
    <w:p w:rsidR="00B368A8" w:rsidRPr="00B368A8" w:rsidRDefault="00B368A8" w:rsidP="00B368A8">
      <w:pPr>
        <w:pStyle w:val="a9"/>
        <w:spacing w:before="0" w:beforeAutospacing="0" w:after="75" w:afterAutospacing="0"/>
        <w:ind w:firstLine="708"/>
        <w:jc w:val="both"/>
        <w:rPr>
          <w:color w:val="070B0E"/>
          <w:sz w:val="28"/>
          <w:szCs w:val="28"/>
        </w:rPr>
      </w:pPr>
      <w:r w:rsidRPr="00B368A8">
        <w:rPr>
          <w:b/>
          <w:bCs/>
          <w:color w:val="070B0E"/>
          <w:sz w:val="28"/>
          <w:szCs w:val="28"/>
        </w:rPr>
        <w:t>Общедомовым имуществом</w:t>
      </w:r>
      <w:r w:rsidRPr="00B368A8">
        <w:rPr>
          <w:color w:val="070B0E"/>
          <w:sz w:val="28"/>
          <w:szCs w:val="28"/>
        </w:rPr>
        <w:t> считаются части строения, которые одновременно обслуживают несколько помещений. Такое имущество принадлежит владельцам квартир по праву общей долевой собственности.</w:t>
      </w:r>
    </w:p>
    <w:p w:rsidR="00B368A8" w:rsidRPr="00B368A8" w:rsidRDefault="00B368A8" w:rsidP="00B368A8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В соответствии с частью 1 статьи 36 </w:t>
      </w:r>
      <w:r w:rsidRPr="00B368A8">
        <w:rPr>
          <w:color w:val="070B0E"/>
          <w:sz w:val="28"/>
          <w:szCs w:val="28"/>
        </w:rPr>
        <w:t>Жилищного Кодекса</w:t>
      </w:r>
      <w:r w:rsidRPr="00B368A8">
        <w:rPr>
          <w:color w:val="070B0E"/>
          <w:sz w:val="28"/>
          <w:szCs w:val="28"/>
        </w:rPr>
        <w:t> в перечень общего имущества многоквартирного дома входит:</w:t>
      </w:r>
    </w:p>
    <w:p w:rsidR="00B368A8" w:rsidRPr="00B368A8" w:rsidRDefault="00B368A8" w:rsidP="00B368A8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Помещения в многоквартирном доме, которые выходят за границы квартиры: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лестницы и лестничные площадки;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лифты и их шахты;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прочие шахты;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подвалы и чердаки;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технические этажи;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оснащение в многоквартирном доме.</w:t>
      </w:r>
    </w:p>
    <w:p w:rsidR="00B368A8" w:rsidRPr="00B368A8" w:rsidRDefault="00B368A8" w:rsidP="00B368A8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Помещения для удовлетворения социально-бытовых потребностей жильцов дома. Они не принадлежат конкретному собственнику. Например, жильцы организовали в подвале тренажерный зал; зал принадлежит всем жителям многоквартирного дома. </w:t>
      </w:r>
    </w:p>
    <w:p w:rsidR="00B368A8" w:rsidRPr="00B368A8" w:rsidRDefault="00B368A8" w:rsidP="00B368A8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Элементы, которые находятся на территории или за ее пределами многоквартирного дома: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крыши;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не несущие и несущие конструкции дома;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lastRenderedPageBreak/>
        <w:t>электрическое, механическое, санитарно-техническое и другое оборудование.</w:t>
      </w:r>
    </w:p>
    <w:p w:rsidR="00B368A8" w:rsidRPr="00B368A8" w:rsidRDefault="00B368A8" w:rsidP="00B368A8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Земля, на которой размещен дом, включая элементы благоустройства: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озеленение;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парковки;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детские площадки; 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скамейки и т.д.</w:t>
      </w:r>
    </w:p>
    <w:p w:rsidR="00B368A8" w:rsidRPr="00B368A8" w:rsidRDefault="00B368A8" w:rsidP="00B368A8">
      <w:pPr>
        <w:pStyle w:val="a9"/>
        <w:spacing w:before="0" w:beforeAutospacing="0" w:after="75" w:afterAutospacing="0"/>
        <w:ind w:left="720"/>
        <w:jc w:val="both"/>
        <w:rPr>
          <w:color w:val="070B0E"/>
          <w:sz w:val="28"/>
          <w:szCs w:val="28"/>
        </w:rPr>
      </w:pPr>
    </w:p>
    <w:p w:rsidR="00B368A8" w:rsidRPr="00B368A8" w:rsidRDefault="00B368A8" w:rsidP="00B368A8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Дополняет список общедомового имущества Постановление </w:t>
      </w:r>
      <w:r w:rsidRPr="00B368A8">
        <w:rPr>
          <w:color w:val="070B0E"/>
          <w:sz w:val="28"/>
          <w:szCs w:val="28"/>
        </w:rPr>
        <w:t>Правительства №491</w:t>
      </w:r>
      <w:r w:rsidRPr="00B368A8">
        <w:rPr>
          <w:color w:val="070B0E"/>
          <w:sz w:val="28"/>
          <w:szCs w:val="28"/>
        </w:rPr>
        <w:t>:</w:t>
      </w:r>
    </w:p>
    <w:p w:rsidR="00B368A8" w:rsidRPr="00B368A8" w:rsidRDefault="00B368A8" w:rsidP="00B368A8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Плита балкона. Ограждение, остекление и отделка балкона относятся к собственности владельца квартиры. Владельцу следует учесть, что остекление балкона, установка кондиционера, размещение рекламы на наружных стенах многоквартирного дома могут изменить внешний вид фасада здания. Такие вопросы рассматриваются на </w:t>
      </w:r>
      <w:r w:rsidRPr="00B368A8">
        <w:rPr>
          <w:color w:val="070B0E"/>
          <w:sz w:val="28"/>
          <w:szCs w:val="28"/>
        </w:rPr>
        <w:t>общем собрании</w:t>
      </w:r>
      <w:r w:rsidRPr="00B368A8">
        <w:rPr>
          <w:color w:val="070B0E"/>
          <w:sz w:val="28"/>
          <w:szCs w:val="28"/>
        </w:rPr>
        <w:t> собственников.</w:t>
      </w:r>
    </w:p>
    <w:p w:rsidR="00B368A8" w:rsidRPr="00B368A8" w:rsidRDefault="00B368A8" w:rsidP="003C0562">
      <w:pPr>
        <w:pStyle w:val="a9"/>
        <w:numPr>
          <w:ilvl w:val="0"/>
          <w:numId w:val="29"/>
        </w:numPr>
        <w:tabs>
          <w:tab w:val="clear" w:pos="720"/>
          <w:tab w:val="num" w:pos="0"/>
        </w:tabs>
        <w:spacing w:before="0" w:beforeAutospacing="0" w:after="75" w:afterAutospacing="0"/>
        <w:ind w:left="0" w:firstLine="709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Инженерные коммуникации многоквартирного дома: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электроснабжение (участок от индивидуальных счетчиков до общедомового);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холодное и горячее водоснабжение (участок от места соединения общедомовых счетчиков с трубопроводами, ведущими в дом);</w:t>
      </w:r>
    </w:p>
    <w:p w:rsidR="00B368A8" w:rsidRPr="00B368A8" w:rsidRDefault="00B368A8" w:rsidP="00B368A8">
      <w:pPr>
        <w:pStyle w:val="a9"/>
        <w:numPr>
          <w:ilvl w:val="1"/>
          <w:numId w:val="29"/>
        </w:numPr>
        <w:spacing w:before="0" w:beforeAutospacing="0" w:after="75" w:afterAutospacing="0"/>
        <w:jc w:val="both"/>
        <w:rPr>
          <w:color w:val="070B0E"/>
          <w:sz w:val="28"/>
          <w:szCs w:val="28"/>
        </w:rPr>
      </w:pPr>
      <w:r w:rsidRPr="00B368A8">
        <w:rPr>
          <w:color w:val="070B0E"/>
          <w:sz w:val="28"/>
          <w:szCs w:val="28"/>
        </w:rPr>
        <w:t>канализация.</w:t>
      </w:r>
    </w:p>
    <w:p w:rsidR="00B368A8" w:rsidRPr="00B368A8" w:rsidRDefault="00B368A8" w:rsidP="003C0562">
      <w:pPr>
        <w:pStyle w:val="a9"/>
        <w:spacing w:before="0" w:beforeAutospacing="0" w:after="75" w:afterAutospacing="0"/>
        <w:ind w:firstLine="709"/>
        <w:jc w:val="both"/>
        <w:rPr>
          <w:color w:val="070B0E"/>
          <w:sz w:val="28"/>
          <w:szCs w:val="28"/>
        </w:rPr>
      </w:pPr>
      <w:bookmarkStart w:id="0" w:name="_GoBack"/>
      <w:bookmarkEnd w:id="0"/>
      <w:r w:rsidRPr="00B368A8">
        <w:rPr>
          <w:color w:val="070B0E"/>
          <w:sz w:val="28"/>
          <w:szCs w:val="28"/>
        </w:rPr>
        <w:t>Если нет общих приборов учета, границу инженерных коммуникаций, относящихся к общедомовому имуществу, устанавливают управляющая компания и поставщики ресурсов в договоре. </w:t>
      </w:r>
    </w:p>
    <w:sectPr w:rsidR="00B368A8" w:rsidRPr="00B368A8" w:rsidSect="00A40966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CD" w:rsidRDefault="00F95DCD" w:rsidP="00966D85">
      <w:pPr>
        <w:spacing w:after="0" w:line="240" w:lineRule="auto"/>
      </w:pPr>
      <w:r>
        <w:separator/>
      </w:r>
    </w:p>
  </w:endnote>
  <w:endnote w:type="continuationSeparator" w:id="0">
    <w:p w:rsidR="00F95DCD" w:rsidRDefault="00F95DCD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CD" w:rsidRDefault="00F95DCD" w:rsidP="00966D85">
      <w:pPr>
        <w:spacing w:after="0" w:line="240" w:lineRule="auto"/>
      </w:pPr>
      <w:r>
        <w:separator/>
      </w:r>
    </w:p>
  </w:footnote>
  <w:footnote w:type="continuationSeparator" w:id="0">
    <w:p w:rsidR="00F95DCD" w:rsidRDefault="00F95DCD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3E"/>
    <w:multiLevelType w:val="multilevel"/>
    <w:tmpl w:val="EB9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316EE2"/>
    <w:multiLevelType w:val="multilevel"/>
    <w:tmpl w:val="5D60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5F4523"/>
    <w:multiLevelType w:val="multilevel"/>
    <w:tmpl w:val="264A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15E6E"/>
    <w:multiLevelType w:val="multilevel"/>
    <w:tmpl w:val="C84C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13E17"/>
    <w:multiLevelType w:val="multilevel"/>
    <w:tmpl w:val="8FD2D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64E0A"/>
    <w:multiLevelType w:val="multilevel"/>
    <w:tmpl w:val="52201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0B6C55"/>
    <w:multiLevelType w:val="multilevel"/>
    <w:tmpl w:val="84E2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417D"/>
    <w:multiLevelType w:val="multilevel"/>
    <w:tmpl w:val="13E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543C44"/>
    <w:multiLevelType w:val="multilevel"/>
    <w:tmpl w:val="53E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8C4236"/>
    <w:multiLevelType w:val="multilevel"/>
    <w:tmpl w:val="8D98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941F2"/>
    <w:multiLevelType w:val="hybridMultilevel"/>
    <w:tmpl w:val="DD9C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5ED2"/>
    <w:multiLevelType w:val="multilevel"/>
    <w:tmpl w:val="BF2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762E49"/>
    <w:multiLevelType w:val="multilevel"/>
    <w:tmpl w:val="E050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9C3C51"/>
    <w:multiLevelType w:val="multilevel"/>
    <w:tmpl w:val="77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971A7"/>
    <w:multiLevelType w:val="hybridMultilevel"/>
    <w:tmpl w:val="53F2F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24870"/>
    <w:multiLevelType w:val="multilevel"/>
    <w:tmpl w:val="7ED0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33B21"/>
    <w:multiLevelType w:val="multilevel"/>
    <w:tmpl w:val="33D6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032FB7"/>
    <w:multiLevelType w:val="multilevel"/>
    <w:tmpl w:val="6A72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9E7850"/>
    <w:multiLevelType w:val="hybridMultilevel"/>
    <w:tmpl w:val="0A78FABC"/>
    <w:lvl w:ilvl="0" w:tplc="F61E6214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E5237D2"/>
    <w:multiLevelType w:val="multilevel"/>
    <w:tmpl w:val="7C6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C55B4B"/>
    <w:multiLevelType w:val="multilevel"/>
    <w:tmpl w:val="090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C7B2E"/>
    <w:multiLevelType w:val="multilevel"/>
    <w:tmpl w:val="A98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1A7E9C"/>
    <w:multiLevelType w:val="multilevel"/>
    <w:tmpl w:val="E27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FD38C2"/>
    <w:multiLevelType w:val="multilevel"/>
    <w:tmpl w:val="3A9CE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23BE9"/>
    <w:multiLevelType w:val="hybridMultilevel"/>
    <w:tmpl w:val="B0E24CEE"/>
    <w:lvl w:ilvl="0" w:tplc="F5848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4B1E1E"/>
    <w:multiLevelType w:val="multilevel"/>
    <w:tmpl w:val="3D24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92E5D"/>
    <w:multiLevelType w:val="multilevel"/>
    <w:tmpl w:val="D694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D55B1"/>
    <w:multiLevelType w:val="multilevel"/>
    <w:tmpl w:val="7B46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6632A5"/>
    <w:multiLevelType w:val="multilevel"/>
    <w:tmpl w:val="2CBA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6"/>
  </w:num>
  <w:num w:numId="3">
    <w:abstractNumId w:val="22"/>
  </w:num>
  <w:num w:numId="4">
    <w:abstractNumId w:val="18"/>
  </w:num>
  <w:num w:numId="5">
    <w:abstractNumId w:val="7"/>
  </w:num>
  <w:num w:numId="6">
    <w:abstractNumId w:val="20"/>
  </w:num>
  <w:num w:numId="7">
    <w:abstractNumId w:val="21"/>
  </w:num>
  <w:num w:numId="8">
    <w:abstractNumId w:val="19"/>
  </w:num>
  <w:num w:numId="9">
    <w:abstractNumId w:val="16"/>
  </w:num>
  <w:num w:numId="10">
    <w:abstractNumId w:val="24"/>
  </w:num>
  <w:num w:numId="11">
    <w:abstractNumId w:val="26"/>
  </w:num>
  <w:num w:numId="12">
    <w:abstractNumId w:val="27"/>
  </w:num>
  <w:num w:numId="13">
    <w:abstractNumId w:val="25"/>
  </w:num>
  <w:num w:numId="14">
    <w:abstractNumId w:val="17"/>
  </w:num>
  <w:num w:numId="15">
    <w:abstractNumId w:val="13"/>
  </w:num>
  <w:num w:numId="16">
    <w:abstractNumId w:val="12"/>
  </w:num>
  <w:num w:numId="17">
    <w:abstractNumId w:val="1"/>
  </w:num>
  <w:num w:numId="18">
    <w:abstractNumId w:val="15"/>
  </w:num>
  <w:num w:numId="19">
    <w:abstractNumId w:val="5"/>
  </w:num>
  <w:num w:numId="20">
    <w:abstractNumId w:val="3"/>
  </w:num>
  <w:num w:numId="21">
    <w:abstractNumId w:val="2"/>
  </w:num>
  <w:num w:numId="22">
    <w:abstractNumId w:val="10"/>
  </w:num>
  <w:num w:numId="23">
    <w:abstractNumId w:val="14"/>
  </w:num>
  <w:num w:numId="24">
    <w:abstractNumId w:val="11"/>
  </w:num>
  <w:num w:numId="25">
    <w:abstractNumId w:val="8"/>
  </w:num>
  <w:num w:numId="26">
    <w:abstractNumId w:val="9"/>
  </w:num>
  <w:num w:numId="27">
    <w:abstractNumId w:val="4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205B7"/>
    <w:rsid w:val="00077397"/>
    <w:rsid w:val="000B1672"/>
    <w:rsid w:val="000C2DB9"/>
    <w:rsid w:val="0011300A"/>
    <w:rsid w:val="00123ED1"/>
    <w:rsid w:val="00143031"/>
    <w:rsid w:val="00144B30"/>
    <w:rsid w:val="00152BEB"/>
    <w:rsid w:val="00157877"/>
    <w:rsid w:val="001B4598"/>
    <w:rsid w:val="001B6BA7"/>
    <w:rsid w:val="001C2D4B"/>
    <w:rsid w:val="001D5655"/>
    <w:rsid w:val="001E1F79"/>
    <w:rsid w:val="001F4410"/>
    <w:rsid w:val="00222BA9"/>
    <w:rsid w:val="0023268D"/>
    <w:rsid w:val="002867B8"/>
    <w:rsid w:val="00292328"/>
    <w:rsid w:val="002A1F8E"/>
    <w:rsid w:val="002B0B41"/>
    <w:rsid w:val="002E1A85"/>
    <w:rsid w:val="00313029"/>
    <w:rsid w:val="00314575"/>
    <w:rsid w:val="003358AA"/>
    <w:rsid w:val="003376CF"/>
    <w:rsid w:val="00354E61"/>
    <w:rsid w:val="003566DE"/>
    <w:rsid w:val="00380ACE"/>
    <w:rsid w:val="00390B47"/>
    <w:rsid w:val="003B5A88"/>
    <w:rsid w:val="003B704A"/>
    <w:rsid w:val="003C0562"/>
    <w:rsid w:val="003F08F8"/>
    <w:rsid w:val="00432510"/>
    <w:rsid w:val="00451C51"/>
    <w:rsid w:val="00454513"/>
    <w:rsid w:val="0047136A"/>
    <w:rsid w:val="00472EEE"/>
    <w:rsid w:val="00474225"/>
    <w:rsid w:val="00490262"/>
    <w:rsid w:val="00495203"/>
    <w:rsid w:val="004B5272"/>
    <w:rsid w:val="004C2D22"/>
    <w:rsid w:val="004E7CF5"/>
    <w:rsid w:val="004F1D1A"/>
    <w:rsid w:val="004F33BA"/>
    <w:rsid w:val="00502F17"/>
    <w:rsid w:val="005454C2"/>
    <w:rsid w:val="00545784"/>
    <w:rsid w:val="00596FE6"/>
    <w:rsid w:val="005B7443"/>
    <w:rsid w:val="005D6325"/>
    <w:rsid w:val="005E7C2A"/>
    <w:rsid w:val="00614A77"/>
    <w:rsid w:val="006161B7"/>
    <w:rsid w:val="0064769B"/>
    <w:rsid w:val="00696C54"/>
    <w:rsid w:val="006B5C82"/>
    <w:rsid w:val="006E07C2"/>
    <w:rsid w:val="006F1493"/>
    <w:rsid w:val="006F21A7"/>
    <w:rsid w:val="00712095"/>
    <w:rsid w:val="00751EC7"/>
    <w:rsid w:val="00755476"/>
    <w:rsid w:val="00773523"/>
    <w:rsid w:val="00791B6C"/>
    <w:rsid w:val="007B4161"/>
    <w:rsid w:val="007C7B1F"/>
    <w:rsid w:val="0080564F"/>
    <w:rsid w:val="00836653"/>
    <w:rsid w:val="0084507B"/>
    <w:rsid w:val="00870E54"/>
    <w:rsid w:val="008B6ACF"/>
    <w:rsid w:val="00911339"/>
    <w:rsid w:val="00966D85"/>
    <w:rsid w:val="00971908"/>
    <w:rsid w:val="009C241D"/>
    <w:rsid w:val="009D6EEC"/>
    <w:rsid w:val="009D7FC3"/>
    <w:rsid w:val="009E3576"/>
    <w:rsid w:val="009E7611"/>
    <w:rsid w:val="009F2169"/>
    <w:rsid w:val="00A05F0D"/>
    <w:rsid w:val="00A40966"/>
    <w:rsid w:val="00A54724"/>
    <w:rsid w:val="00A654BD"/>
    <w:rsid w:val="00A65CA1"/>
    <w:rsid w:val="00A67D51"/>
    <w:rsid w:val="00A735C7"/>
    <w:rsid w:val="00A940F3"/>
    <w:rsid w:val="00AA1982"/>
    <w:rsid w:val="00AC53AE"/>
    <w:rsid w:val="00AC7B51"/>
    <w:rsid w:val="00AD556C"/>
    <w:rsid w:val="00B06D68"/>
    <w:rsid w:val="00B1199B"/>
    <w:rsid w:val="00B14ED0"/>
    <w:rsid w:val="00B368A8"/>
    <w:rsid w:val="00B42582"/>
    <w:rsid w:val="00B92AF8"/>
    <w:rsid w:val="00B93197"/>
    <w:rsid w:val="00B93EB1"/>
    <w:rsid w:val="00BE5C24"/>
    <w:rsid w:val="00C37837"/>
    <w:rsid w:val="00C469B2"/>
    <w:rsid w:val="00C61D0A"/>
    <w:rsid w:val="00C92A97"/>
    <w:rsid w:val="00CB67C0"/>
    <w:rsid w:val="00CE66D7"/>
    <w:rsid w:val="00D111C3"/>
    <w:rsid w:val="00D3006A"/>
    <w:rsid w:val="00D65411"/>
    <w:rsid w:val="00D71355"/>
    <w:rsid w:val="00D720C5"/>
    <w:rsid w:val="00D75FA4"/>
    <w:rsid w:val="00DE1714"/>
    <w:rsid w:val="00E27D9F"/>
    <w:rsid w:val="00E46D53"/>
    <w:rsid w:val="00E553D0"/>
    <w:rsid w:val="00E95903"/>
    <w:rsid w:val="00EA023B"/>
    <w:rsid w:val="00F0052D"/>
    <w:rsid w:val="00F1313A"/>
    <w:rsid w:val="00F86773"/>
    <w:rsid w:val="00F90B63"/>
    <w:rsid w:val="00F95DCD"/>
    <w:rsid w:val="00FA67A9"/>
    <w:rsid w:val="00FB4DD1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44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27D9F"/>
    <w:rPr>
      <w:color w:val="0000FF"/>
      <w:u w:val="single"/>
    </w:rPr>
  </w:style>
  <w:style w:type="character" w:styleId="ab">
    <w:name w:val="Emphasis"/>
    <w:basedOn w:val="a0"/>
    <w:uiPriority w:val="20"/>
    <w:qFormat/>
    <w:rsid w:val="00AC53AE"/>
    <w:rPr>
      <w:i/>
      <w:iCs/>
    </w:rPr>
  </w:style>
  <w:style w:type="character" w:styleId="ac">
    <w:name w:val="Strong"/>
    <w:basedOn w:val="a0"/>
    <w:uiPriority w:val="22"/>
    <w:qFormat/>
    <w:rsid w:val="001F441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4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indent">
    <w:name w:val="indent"/>
    <w:basedOn w:val="a"/>
    <w:rsid w:val="001F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B4161"/>
    <w:pPr>
      <w:ind w:left="720"/>
      <w:contextualSpacing/>
    </w:pPr>
  </w:style>
  <w:style w:type="paragraph" w:customStyle="1" w:styleId="formattext">
    <w:name w:val="formattext"/>
    <w:basedOn w:val="a"/>
    <w:rsid w:val="000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4B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4846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710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3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404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K204-1</cp:lastModifiedBy>
  <cp:revision>2</cp:revision>
  <cp:lastPrinted>2021-07-26T02:53:00Z</cp:lastPrinted>
  <dcterms:created xsi:type="dcterms:W3CDTF">2023-04-25T02:46:00Z</dcterms:created>
  <dcterms:modified xsi:type="dcterms:W3CDTF">2023-04-25T02:46:00Z</dcterms:modified>
</cp:coreProperties>
</file>