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76" w:rsidRPr="00755476" w:rsidRDefault="00755476" w:rsidP="00755476">
      <w:pPr>
        <w:ind w:firstLine="708"/>
        <w:jc w:val="center"/>
        <w:rPr>
          <w:rFonts w:ascii="Times New Roman" w:hAnsi="Times New Roman" w:cs="Times New Roman"/>
          <w:sz w:val="36"/>
          <w:szCs w:val="27"/>
        </w:rPr>
      </w:pPr>
      <w:r w:rsidRPr="00755476">
        <w:rPr>
          <w:rFonts w:ascii="Times New Roman" w:hAnsi="Times New Roman" w:cs="Times New Roman"/>
          <w:b/>
          <w:bCs/>
          <w:sz w:val="36"/>
          <w:szCs w:val="27"/>
          <w:shd w:val="clear" w:color="auto" w:fill="FFFFFF"/>
        </w:rPr>
        <w:t>Кто обязан содержать детскую площадку</w:t>
      </w:r>
      <w:r w:rsidRPr="00755476">
        <w:rPr>
          <w:rFonts w:ascii="Times New Roman" w:hAnsi="Times New Roman" w:cs="Times New Roman"/>
          <w:sz w:val="36"/>
          <w:szCs w:val="27"/>
        </w:rPr>
        <w:br/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Общее правило такое: детскую площадку содержит собственник земельного участка, на котором она находится.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Если земельный участок имеет кадастровый номер, отмежеван и выделен (сформирован) под определенный многоквартирный дом, то он включен в состав общего имущества собственников данного дома.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Если детская площадка находится на земельном участке, который является общим для группы домов (например, жилого комплекса без сформированного земельного участка именно под данный дом), то такая территория находится в собственности публично-правового образования.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В пункте 67 Постановления Пленума Верховного Суда Российской Федерации и Пленума Высшего Арбитражного Суда Российской Федерации от 29.04.2010 г. № 10/22 «О некоторых вопросах, возникающих в судебной практике при разрешении вопросов, связанных с защитой права собственности и других вещных прав» разъяснено, что если земельный участок не сформирован и в отношении него не проведен государственный кадастровый учет, земля под многоквартирным домом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находится в собственности соответствующего публично-правового образования, однако по смыслу частей 3 и 4 статьи 16 ФЗ «О введении в действие Жилищного кодекса РФ» собственник не вправе распоряжаться этой землей в той части, в которой должен быть сформирован земельный участок под </w:t>
      </w: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многоквартирным домом. В свою очередь, собственники помещений в многоквартирном доме вправе владеть и пользоваться этим земельным участком в той мере, в какой это необходимо для эксплуатации ими многоквартирного дома, а также объектов, входящих в состав общего имущества в таком доме. То есть, лицом, обязанным нести ответственность за содержание детской площадки, является орган местного самоуправления.</w:t>
      </w:r>
    </w:p>
    <w:p w:rsidR="00755476" w:rsidRDefault="00755476" w:rsidP="00755476">
      <w:pPr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Если детская площадка находится на муниципальной территории,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то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как правило обязанность ее содержания относится на орган местного самоуправления (ст. 109 ГК РФ). </w:t>
      </w:r>
      <w:proofErr w:type="gramStart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>Однако в Определении Верховного Суда РФ от 25.08.2020 г. № 303-ЭС20-11685 по делу № А73-13544/2019 суд согласился с доводом суда первой инстанции, что наличие государственного кадастрового учета земельного участка под МКД и прилегающей к нему территории имеет значение для определения собственника земельного участка, но не влияет на обязанность управляющей организации обеспечивать надлежащее состояние детской игровой площадки на придомовой территории.</w:t>
      </w:r>
      <w:proofErr w:type="gramEnd"/>
      <w:r w:rsidRPr="0075547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Исходя из такой логики, суды посчитали, что управляющая организация обязана содержать детскую площадку, находящейся не только на территории земельного участка многоквартирного дома, но и на прилегающей территории.</w:t>
      </w:r>
      <w:bookmarkStart w:id="0" w:name="_GoBack"/>
      <w:bookmarkEnd w:id="0"/>
    </w:p>
    <w:sectPr w:rsidR="007554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B9" w:rsidRDefault="000C2DB9" w:rsidP="00966D85">
      <w:pPr>
        <w:spacing w:after="0" w:line="240" w:lineRule="auto"/>
      </w:pPr>
      <w:r>
        <w:separator/>
      </w:r>
    </w:p>
  </w:endnote>
  <w:endnote w:type="continuationSeparator" w:id="0">
    <w:p w:rsidR="000C2DB9" w:rsidRDefault="000C2DB9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B9" w:rsidRDefault="000C2DB9" w:rsidP="00966D85">
      <w:pPr>
        <w:spacing w:after="0" w:line="240" w:lineRule="auto"/>
      </w:pPr>
      <w:r>
        <w:separator/>
      </w:r>
    </w:p>
  </w:footnote>
  <w:footnote w:type="continuationSeparator" w:id="0">
    <w:p w:rsidR="000C2DB9" w:rsidRDefault="000C2DB9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2021-06-28T06:09:00Z</dcterms:created>
  <dcterms:modified xsi:type="dcterms:W3CDTF">2021-06-28T06:09:00Z</dcterms:modified>
</cp:coreProperties>
</file>