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E18" w:rsidRDefault="004D7E18" w:rsidP="00C347C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-18415</wp:posOffset>
            </wp:positionV>
            <wp:extent cx="847725" cy="882181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21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2F6"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left:0;text-align:left;margin-left:-6.6pt;margin-top:-6.7pt;width:528.75pt;height:78.75pt;z-index:251656190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D7E18" w:rsidRPr="00C347CF" w:rsidRDefault="004D7E18" w:rsidP="004D7E18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C347CF">
                    <w:rPr>
                      <w:rFonts w:asciiTheme="minorHAnsi" w:hAnsiTheme="minorHAnsi"/>
                      <w:sz w:val="32"/>
                      <w:szCs w:val="32"/>
                    </w:rPr>
                    <w:t>ООО «Тепловик-2»</w:t>
                  </w:r>
                </w:p>
                <w:p w:rsidR="004D7E18" w:rsidRPr="00C347CF" w:rsidRDefault="004D7E18" w:rsidP="004D7E18">
                  <w:pPr>
                    <w:rPr>
                      <w:rFonts w:asciiTheme="minorHAnsi" w:hAnsiTheme="minorHAnsi"/>
                    </w:rPr>
                  </w:pPr>
                  <w:r w:rsidRPr="00C347CF">
                    <w:rPr>
                      <w:rFonts w:asciiTheme="minorHAnsi" w:hAnsiTheme="minorHAnsi"/>
                    </w:rPr>
                    <w:t>662820 Красноярский  край с.</w:t>
                  </w:r>
                  <w:r w:rsidR="002D08F3">
                    <w:rPr>
                      <w:rFonts w:asciiTheme="minorHAnsi" w:hAnsiTheme="minorHAnsi"/>
                    </w:rPr>
                    <w:t xml:space="preserve"> </w:t>
                  </w:r>
                  <w:r w:rsidRPr="00C347CF">
                    <w:rPr>
                      <w:rFonts w:asciiTheme="minorHAnsi" w:hAnsiTheme="minorHAnsi"/>
                    </w:rPr>
                    <w:t xml:space="preserve">Ермаковское ул. Ленина, д. 82, </w:t>
                  </w:r>
                  <w:proofErr w:type="gramStart"/>
                  <w:r w:rsidRPr="00C347CF">
                    <w:rPr>
                      <w:rFonts w:asciiTheme="minorHAnsi" w:hAnsiTheme="minorHAnsi"/>
                    </w:rPr>
                    <w:t>к</w:t>
                  </w:r>
                  <w:proofErr w:type="gramEnd"/>
                  <w:r w:rsidRPr="00C347CF">
                    <w:rPr>
                      <w:rFonts w:asciiTheme="minorHAnsi" w:hAnsiTheme="minorHAnsi"/>
                    </w:rPr>
                    <w:t xml:space="preserve">. а (юр), </w:t>
                  </w:r>
                </w:p>
                <w:p w:rsidR="004D7E18" w:rsidRPr="00C347CF" w:rsidRDefault="004D7E18" w:rsidP="004D7E18">
                  <w:pPr>
                    <w:rPr>
                      <w:rFonts w:asciiTheme="minorHAnsi" w:hAnsiTheme="minorHAnsi"/>
                    </w:rPr>
                  </w:pPr>
                  <w:r w:rsidRPr="00C347CF">
                    <w:rPr>
                      <w:rFonts w:asciiTheme="minorHAnsi" w:hAnsiTheme="minorHAnsi"/>
                    </w:rPr>
                    <w:t>662820 Красноярский  край с.</w:t>
                  </w:r>
                  <w:r w:rsidR="002D08F3">
                    <w:rPr>
                      <w:rFonts w:asciiTheme="minorHAnsi" w:hAnsiTheme="minorHAnsi"/>
                    </w:rPr>
                    <w:t xml:space="preserve"> </w:t>
                  </w:r>
                  <w:r w:rsidRPr="00C347CF">
                    <w:rPr>
                      <w:rFonts w:asciiTheme="minorHAnsi" w:hAnsiTheme="minorHAnsi"/>
                    </w:rPr>
                    <w:t>Ермаковское ул. К.Маркса, д. 38 (почтовый)</w:t>
                  </w:r>
                </w:p>
                <w:p w:rsidR="004D7E18" w:rsidRPr="00C347CF" w:rsidRDefault="004D7E18" w:rsidP="004D7E18">
                  <w:pPr>
                    <w:rPr>
                      <w:rFonts w:asciiTheme="minorHAnsi" w:hAnsiTheme="minorHAnsi"/>
                    </w:rPr>
                  </w:pPr>
                  <w:r w:rsidRPr="00C347CF">
                    <w:rPr>
                      <w:rFonts w:asciiTheme="minorHAnsi" w:hAnsiTheme="minorHAnsi"/>
                    </w:rPr>
                    <w:t>тел./факс  (39138) 2-40-47; ИНН 2413006167; КПП 241301001; ОКПО 78453553;</w:t>
                  </w:r>
                </w:p>
                <w:p w:rsidR="004D7E18" w:rsidRPr="00C347CF" w:rsidRDefault="004D7E18" w:rsidP="004D7E18">
                  <w:pPr>
                    <w:rPr>
                      <w:rFonts w:asciiTheme="minorHAnsi" w:hAnsiTheme="minorHAnsi"/>
                    </w:rPr>
                  </w:pPr>
                  <w:r w:rsidRPr="00C347CF">
                    <w:rPr>
                      <w:rFonts w:asciiTheme="minorHAnsi" w:hAnsiTheme="minorHAnsi"/>
                    </w:rPr>
                    <w:t xml:space="preserve"> ОКВЭД 40.30.14; ОКФС 49; ОКОПФ 65</w:t>
                  </w:r>
                </w:p>
                <w:p w:rsidR="004D7E18" w:rsidRDefault="004D7E18"/>
              </w:txbxContent>
            </v:textbox>
          </v:shape>
        </w:pict>
      </w:r>
    </w:p>
    <w:p w:rsidR="004D7E18" w:rsidRDefault="004D7E18" w:rsidP="00C347CF"/>
    <w:p w:rsidR="004D7E18" w:rsidRDefault="004D7E18" w:rsidP="00C347CF"/>
    <w:p w:rsidR="004D7E18" w:rsidRDefault="004D7E18" w:rsidP="00C347CF"/>
    <w:p w:rsidR="004D7E18" w:rsidRDefault="004D7E18" w:rsidP="00C347CF"/>
    <w:p w:rsidR="004D7E18" w:rsidRDefault="004D7E18" w:rsidP="00C347CF"/>
    <w:p w:rsidR="004D7E18" w:rsidRDefault="004D7E18" w:rsidP="00C347CF"/>
    <w:p w:rsidR="00F62AFE" w:rsidRDefault="00F62AFE" w:rsidP="00F62AFE">
      <w:pPr>
        <w:jc w:val="both"/>
      </w:pPr>
      <w:r>
        <w:t xml:space="preserve">                                              </w:t>
      </w:r>
    </w:p>
    <w:p w:rsidR="00F62AFE" w:rsidRDefault="00F62AFE" w:rsidP="00F62AFE">
      <w:pPr>
        <w:jc w:val="both"/>
      </w:pPr>
      <w:r>
        <w:t xml:space="preserve">  №__________________                          </w:t>
      </w:r>
      <w:r w:rsidR="004D7E18">
        <w:t xml:space="preserve">                                                                </w:t>
      </w:r>
      <w:r>
        <w:t xml:space="preserve">                    «_______»___________________ 201</w:t>
      </w:r>
      <w:r w:rsidR="007E4131">
        <w:t>6</w:t>
      </w:r>
      <w:r w:rsidR="005A75AD">
        <w:t xml:space="preserve"> </w:t>
      </w:r>
      <w:r>
        <w:t>г.</w:t>
      </w:r>
    </w:p>
    <w:p w:rsidR="00FE0618" w:rsidRDefault="00FE0618" w:rsidP="00F62AFE">
      <w:pPr>
        <w:jc w:val="both"/>
      </w:pPr>
    </w:p>
    <w:p w:rsidR="00FE0618" w:rsidRDefault="00FE0618" w:rsidP="00F62AFE">
      <w:pPr>
        <w:jc w:val="both"/>
      </w:pPr>
    </w:p>
    <w:p w:rsidR="00FE0618" w:rsidRDefault="00FE0618" w:rsidP="00F62AFE">
      <w:pPr>
        <w:jc w:val="both"/>
      </w:pPr>
    </w:p>
    <w:p w:rsidR="00937BAB" w:rsidRDefault="00937BAB" w:rsidP="00937BAB"/>
    <w:p w:rsidR="00937BAB" w:rsidRDefault="00937BAB" w:rsidP="00937BAB">
      <w:pPr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</w:t>
      </w:r>
      <w:r w:rsidRPr="003C1107">
        <w:rPr>
          <w:bCs/>
          <w:sz w:val="24"/>
          <w:szCs w:val="24"/>
        </w:rPr>
        <w:t>ООО "Тепловик-2"</w:t>
      </w:r>
      <w:r>
        <w:rPr>
          <w:bCs/>
          <w:sz w:val="24"/>
          <w:szCs w:val="24"/>
        </w:rPr>
        <w:t>о ценах (тарифах) на регулируемые товары (услуги) – тепловую энергию на 2017 год</w:t>
      </w:r>
      <w:r w:rsidRPr="003C1107">
        <w:rPr>
          <w:bCs/>
          <w:sz w:val="24"/>
          <w:szCs w:val="24"/>
        </w:rPr>
        <w:t xml:space="preserve"> </w:t>
      </w:r>
    </w:p>
    <w:p w:rsidR="00937BAB" w:rsidRPr="0041162E" w:rsidRDefault="00937BAB" w:rsidP="00937BAB">
      <w:pPr>
        <w:rPr>
          <w:b w:val="0"/>
          <w:bCs/>
          <w:sz w:val="16"/>
          <w:szCs w:val="16"/>
        </w:rPr>
      </w:pPr>
    </w:p>
    <w:p w:rsidR="00937BAB" w:rsidRPr="00937BAB" w:rsidRDefault="00937BAB" w:rsidP="00937BAB">
      <w:pPr>
        <w:jc w:val="both"/>
        <w:rPr>
          <w:b w:val="0"/>
          <w:sz w:val="24"/>
          <w:szCs w:val="24"/>
        </w:rPr>
      </w:pPr>
      <w:r w:rsidRPr="00937BAB">
        <w:rPr>
          <w:b w:val="0"/>
          <w:bCs/>
          <w:sz w:val="24"/>
          <w:szCs w:val="24"/>
        </w:rPr>
        <w:t xml:space="preserve">      </w:t>
      </w:r>
      <w:r w:rsidRPr="00937BAB">
        <w:rPr>
          <w:b w:val="0"/>
          <w:sz w:val="24"/>
          <w:szCs w:val="24"/>
        </w:rPr>
        <w:t xml:space="preserve">Согласно постановлению Правительства РФ от 05.07.2013 г. № 570 "О стандартах раскрытия информации теплоснабжающими организациями, </w:t>
      </w:r>
      <w:proofErr w:type="spellStart"/>
      <w:r w:rsidRPr="00937BAB">
        <w:rPr>
          <w:b w:val="0"/>
          <w:sz w:val="24"/>
          <w:szCs w:val="24"/>
        </w:rPr>
        <w:t>теплосетевыми</w:t>
      </w:r>
      <w:proofErr w:type="spellEnd"/>
      <w:r w:rsidRPr="00937BAB">
        <w:rPr>
          <w:b w:val="0"/>
          <w:sz w:val="24"/>
          <w:szCs w:val="24"/>
        </w:rPr>
        <w:t xml:space="preserve"> организациями и органами регулирования" ООО "Тепловик-2" сообщает:</w:t>
      </w:r>
    </w:p>
    <w:p w:rsidR="00937BAB" w:rsidRPr="00937BAB" w:rsidRDefault="00937BAB" w:rsidP="00937BAB">
      <w:pPr>
        <w:jc w:val="both"/>
        <w:rPr>
          <w:b w:val="0"/>
          <w:sz w:val="24"/>
          <w:szCs w:val="24"/>
        </w:rPr>
      </w:pPr>
      <w:r w:rsidRPr="00937BAB">
        <w:rPr>
          <w:b w:val="0"/>
          <w:sz w:val="24"/>
          <w:szCs w:val="24"/>
        </w:rPr>
        <w:t xml:space="preserve">      Приказом Региональной энергетической комиссии Красноярского края от </w:t>
      </w:r>
      <w:r>
        <w:rPr>
          <w:b w:val="0"/>
          <w:sz w:val="24"/>
          <w:szCs w:val="24"/>
        </w:rPr>
        <w:t>22</w:t>
      </w:r>
      <w:r w:rsidRPr="00937BAB">
        <w:rPr>
          <w:b w:val="0"/>
          <w:sz w:val="24"/>
          <w:szCs w:val="24"/>
        </w:rPr>
        <w:t>.11.201</w:t>
      </w:r>
      <w:r>
        <w:rPr>
          <w:b w:val="0"/>
          <w:sz w:val="24"/>
          <w:szCs w:val="24"/>
        </w:rPr>
        <w:t>6</w:t>
      </w:r>
      <w:r w:rsidRPr="00937BAB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95</w:t>
      </w:r>
      <w:r w:rsidRPr="00937BAB">
        <w:rPr>
          <w:b w:val="0"/>
          <w:sz w:val="24"/>
          <w:szCs w:val="24"/>
        </w:rPr>
        <w:t>-п утверждено следующее:</w:t>
      </w:r>
    </w:p>
    <w:p w:rsidR="00540184" w:rsidRDefault="00937BAB" w:rsidP="00540184">
      <w:pPr>
        <w:jc w:val="both"/>
        <w:rPr>
          <w:b w:val="0"/>
          <w:sz w:val="24"/>
          <w:szCs w:val="24"/>
          <w:u w:val="single"/>
        </w:rPr>
      </w:pPr>
      <w:r w:rsidRPr="00937BAB">
        <w:rPr>
          <w:b w:val="0"/>
          <w:sz w:val="24"/>
          <w:szCs w:val="24"/>
        </w:rPr>
        <w:t>Тарифы на тепловую энергию:</w:t>
      </w:r>
    </w:p>
    <w:p w:rsidR="00937BAB" w:rsidRPr="00540184" w:rsidRDefault="00540184" w:rsidP="00540184">
      <w:pPr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- </w:t>
      </w:r>
      <w:r w:rsidR="00937BAB" w:rsidRPr="00540184">
        <w:rPr>
          <w:b w:val="0"/>
          <w:sz w:val="24"/>
          <w:szCs w:val="24"/>
        </w:rPr>
        <w:t>Для потребителей, в случае отсутствия дифференциации тарифов по схеме подключения</w:t>
      </w:r>
    </w:p>
    <w:p w:rsidR="00540184" w:rsidRDefault="00540184" w:rsidP="00937BA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proofErr w:type="spellStart"/>
      <w:r w:rsidR="00937BAB" w:rsidRPr="00937BAB">
        <w:rPr>
          <w:b w:val="0"/>
          <w:sz w:val="24"/>
          <w:szCs w:val="24"/>
        </w:rPr>
        <w:t>Одноставочный</w:t>
      </w:r>
      <w:proofErr w:type="spellEnd"/>
      <w:r w:rsidR="00937BAB" w:rsidRPr="00937BAB">
        <w:rPr>
          <w:b w:val="0"/>
          <w:sz w:val="24"/>
          <w:szCs w:val="24"/>
        </w:rPr>
        <w:t xml:space="preserve"> тариф на 2017 год первое полугодие 2294,99 руб./Гкал, второе полугодие</w:t>
      </w:r>
      <w:r>
        <w:rPr>
          <w:b w:val="0"/>
          <w:sz w:val="24"/>
          <w:szCs w:val="24"/>
        </w:rPr>
        <w:t xml:space="preserve"> </w:t>
      </w:r>
    </w:p>
    <w:p w:rsidR="00937BAB" w:rsidRPr="00937BAB" w:rsidRDefault="00540184" w:rsidP="00937BA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937BAB">
        <w:rPr>
          <w:b w:val="0"/>
          <w:sz w:val="24"/>
          <w:szCs w:val="24"/>
        </w:rPr>
        <w:t>2384</w:t>
      </w:r>
      <w:r>
        <w:rPr>
          <w:b w:val="0"/>
          <w:sz w:val="24"/>
          <w:szCs w:val="24"/>
        </w:rPr>
        <w:t>,50</w:t>
      </w:r>
      <w:r w:rsidR="00937BAB" w:rsidRPr="00937BAB">
        <w:rPr>
          <w:b w:val="0"/>
          <w:sz w:val="24"/>
          <w:szCs w:val="24"/>
        </w:rPr>
        <w:t xml:space="preserve"> руб./Гкал.</w:t>
      </w:r>
    </w:p>
    <w:p w:rsidR="00937BAB" w:rsidRPr="00937BAB" w:rsidRDefault="00540184" w:rsidP="00937BA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</w:t>
      </w:r>
      <w:r w:rsidR="00937BAB" w:rsidRPr="00937BAB">
        <w:rPr>
          <w:b w:val="0"/>
          <w:sz w:val="24"/>
          <w:szCs w:val="24"/>
        </w:rPr>
        <w:t xml:space="preserve"> Население (тарифы указываются с учетом НДС)</w:t>
      </w:r>
    </w:p>
    <w:p w:rsidR="00540184" w:rsidRDefault="00540184" w:rsidP="00937BA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proofErr w:type="spellStart"/>
      <w:r w:rsidR="00937BAB" w:rsidRPr="00937BAB">
        <w:rPr>
          <w:b w:val="0"/>
          <w:sz w:val="24"/>
          <w:szCs w:val="24"/>
        </w:rPr>
        <w:t>Одноставочный</w:t>
      </w:r>
      <w:proofErr w:type="spellEnd"/>
      <w:r w:rsidR="00937BAB" w:rsidRPr="00937BAB">
        <w:rPr>
          <w:b w:val="0"/>
          <w:sz w:val="24"/>
          <w:szCs w:val="24"/>
        </w:rPr>
        <w:t xml:space="preserve"> тариф на 2017 год первое полугодие 2294,99 руб./Гкал, второе полугодие</w:t>
      </w:r>
      <w:r>
        <w:rPr>
          <w:b w:val="0"/>
          <w:sz w:val="24"/>
          <w:szCs w:val="24"/>
        </w:rPr>
        <w:t xml:space="preserve">    </w:t>
      </w:r>
    </w:p>
    <w:p w:rsidR="00937BAB" w:rsidRPr="00937BAB" w:rsidRDefault="00540184" w:rsidP="00937BA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2384,50</w:t>
      </w:r>
      <w:r w:rsidR="00937BAB" w:rsidRPr="00937BAB">
        <w:rPr>
          <w:b w:val="0"/>
          <w:sz w:val="24"/>
          <w:szCs w:val="24"/>
        </w:rPr>
        <w:t xml:space="preserve"> руб./Гкал.</w:t>
      </w:r>
    </w:p>
    <w:p w:rsidR="00540184" w:rsidRDefault="00937BAB" w:rsidP="00540184">
      <w:pPr>
        <w:jc w:val="both"/>
        <w:rPr>
          <w:b w:val="0"/>
          <w:sz w:val="24"/>
          <w:szCs w:val="24"/>
        </w:rPr>
      </w:pPr>
      <w:r w:rsidRPr="00937BAB">
        <w:rPr>
          <w:b w:val="0"/>
          <w:sz w:val="24"/>
          <w:szCs w:val="24"/>
        </w:rPr>
        <w:t xml:space="preserve">   </w:t>
      </w:r>
      <w:r w:rsidR="00540184">
        <w:rPr>
          <w:b w:val="0"/>
          <w:sz w:val="24"/>
          <w:szCs w:val="24"/>
        </w:rPr>
        <w:t xml:space="preserve"> </w:t>
      </w:r>
      <w:r w:rsidRPr="00937BAB">
        <w:rPr>
          <w:b w:val="0"/>
          <w:sz w:val="24"/>
          <w:szCs w:val="24"/>
        </w:rPr>
        <w:t xml:space="preserve"> Примечание: тарифы установлены с учетом применения организацией</w:t>
      </w:r>
      <w:r w:rsidR="00540184">
        <w:rPr>
          <w:b w:val="0"/>
          <w:sz w:val="24"/>
          <w:szCs w:val="24"/>
        </w:rPr>
        <w:t xml:space="preserve"> </w:t>
      </w:r>
      <w:r w:rsidRPr="00937BAB">
        <w:rPr>
          <w:b w:val="0"/>
          <w:sz w:val="24"/>
          <w:szCs w:val="24"/>
        </w:rPr>
        <w:t xml:space="preserve">упрощенной системы налогообложения.   </w:t>
      </w:r>
    </w:p>
    <w:p w:rsidR="009C0584" w:rsidRDefault="00540184" w:rsidP="0054018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Т.</w:t>
      </w:r>
      <w:r w:rsidR="009C0584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. тариф на тепловую энергию в первом полугодии 2017 года будет таким же</w:t>
      </w:r>
      <w:r w:rsidR="009C0584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как во втором полугодии 2016 года</w:t>
      </w:r>
      <w:r w:rsidR="009C0584">
        <w:rPr>
          <w:b w:val="0"/>
          <w:sz w:val="24"/>
          <w:szCs w:val="24"/>
        </w:rPr>
        <w:t>. С 1 июля 2017 года он вырастет на 3,9%.</w:t>
      </w:r>
    </w:p>
    <w:p w:rsidR="00937BAB" w:rsidRDefault="009C0584" w:rsidP="0054018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Начисление платежей населению в 2017 году будет осуществляться в том же порядке</w:t>
      </w:r>
      <w:r w:rsidR="00B73070">
        <w:rPr>
          <w:b w:val="0"/>
          <w:sz w:val="24"/>
          <w:szCs w:val="24"/>
        </w:rPr>
        <w:t xml:space="preserve">. </w:t>
      </w:r>
    </w:p>
    <w:p w:rsidR="00B73070" w:rsidRPr="00B73070" w:rsidRDefault="00B73070" w:rsidP="00B73070">
      <w:pPr>
        <w:pStyle w:val="aa"/>
        <w:shd w:val="clear" w:color="auto" w:fill="FFFFFF"/>
        <w:spacing w:line="293" w:lineRule="atLeast"/>
        <w:ind w:left="0"/>
        <w:jc w:val="both"/>
        <w:rPr>
          <w:b w:val="0"/>
          <w:color w:val="000000"/>
          <w:sz w:val="23"/>
          <w:szCs w:val="23"/>
          <w:lang w:eastAsia="ru-RU"/>
        </w:rPr>
      </w:pPr>
      <w:r>
        <w:rPr>
          <w:b w:val="0"/>
          <w:color w:val="000000"/>
          <w:sz w:val="23"/>
          <w:szCs w:val="23"/>
          <w:lang w:eastAsia="ru-RU"/>
        </w:rPr>
        <w:t xml:space="preserve">     </w:t>
      </w:r>
      <w:proofErr w:type="gramStart"/>
      <w:r>
        <w:rPr>
          <w:b w:val="0"/>
          <w:color w:val="000000"/>
          <w:sz w:val="23"/>
          <w:szCs w:val="23"/>
          <w:lang w:eastAsia="ru-RU"/>
        </w:rPr>
        <w:t>В</w:t>
      </w:r>
      <w:r w:rsidRPr="00B73070">
        <w:rPr>
          <w:b w:val="0"/>
          <w:sz w:val="24"/>
          <w:szCs w:val="24"/>
        </w:rPr>
        <w:t xml:space="preserve"> соответствии с </w:t>
      </w:r>
      <w:r w:rsidRPr="00B73070">
        <w:rPr>
          <w:rFonts w:ascii="Arial" w:hAnsi="Arial" w:cs="Arial"/>
          <w:b w:val="0"/>
          <w:color w:val="000000"/>
          <w:sz w:val="23"/>
          <w:szCs w:val="23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 w:rsidRPr="00B73070">
        <w:rPr>
          <w:b w:val="0"/>
          <w:color w:val="000000"/>
          <w:sz w:val="23"/>
          <w:szCs w:val="23"/>
          <w:lang w:eastAsia="ru-RU"/>
        </w:rPr>
        <w:t>утвержденными Постановлением Правительства Российской Федерации от 6 мая 2011 г. N 354 (в ред. от 29.06.2016 № 603) начисление платежей населению по коммунальной услуге отоплению будет также, как и ранее, производиться равномерно в течение года следующим образом:</w:t>
      </w:r>
      <w:proofErr w:type="gramEnd"/>
    </w:p>
    <w:p w:rsidR="00B73070" w:rsidRPr="00B73070" w:rsidRDefault="00B73070" w:rsidP="00B73070">
      <w:pPr>
        <w:pStyle w:val="aa"/>
        <w:numPr>
          <w:ilvl w:val="0"/>
          <w:numId w:val="8"/>
        </w:numPr>
        <w:shd w:val="clear" w:color="auto" w:fill="FFFFFF"/>
        <w:tabs>
          <w:tab w:val="clear" w:pos="1560"/>
        </w:tabs>
        <w:spacing w:line="293" w:lineRule="atLeast"/>
        <w:ind w:left="360"/>
        <w:jc w:val="both"/>
        <w:rPr>
          <w:b w:val="0"/>
          <w:color w:val="000000"/>
          <w:sz w:val="23"/>
          <w:szCs w:val="23"/>
          <w:lang w:eastAsia="ru-RU"/>
        </w:rPr>
      </w:pPr>
      <w:r w:rsidRPr="00B73070">
        <w:rPr>
          <w:b w:val="0"/>
          <w:color w:val="000000"/>
          <w:sz w:val="23"/>
          <w:szCs w:val="23"/>
          <w:u w:val="single"/>
          <w:lang w:eastAsia="ru-RU"/>
        </w:rPr>
        <w:t xml:space="preserve">По жилым домам, оборудованным </w:t>
      </w:r>
      <w:proofErr w:type="spellStart"/>
      <w:r w:rsidRPr="00B73070">
        <w:rPr>
          <w:b w:val="0"/>
          <w:color w:val="000000"/>
          <w:sz w:val="23"/>
          <w:szCs w:val="23"/>
          <w:u w:val="single"/>
          <w:lang w:eastAsia="ru-RU"/>
        </w:rPr>
        <w:t>общедомовыми</w:t>
      </w:r>
      <w:proofErr w:type="spellEnd"/>
      <w:r w:rsidRPr="00B73070">
        <w:rPr>
          <w:b w:val="0"/>
          <w:color w:val="000000"/>
          <w:sz w:val="23"/>
          <w:szCs w:val="23"/>
          <w:u w:val="single"/>
          <w:lang w:eastAsia="ru-RU"/>
        </w:rPr>
        <w:t xml:space="preserve"> приборами учета тепловой энергии:</w:t>
      </w:r>
      <w:r w:rsidRPr="00B73070">
        <w:rPr>
          <w:b w:val="0"/>
          <w:color w:val="000000"/>
          <w:sz w:val="23"/>
          <w:szCs w:val="23"/>
          <w:lang w:eastAsia="ru-RU"/>
        </w:rPr>
        <w:t xml:space="preserve"> </w:t>
      </w:r>
    </w:p>
    <w:p w:rsidR="00B73070" w:rsidRPr="00B73070" w:rsidRDefault="00B73070" w:rsidP="00B73070">
      <w:pPr>
        <w:pStyle w:val="aa"/>
        <w:shd w:val="clear" w:color="auto" w:fill="FFFFFF"/>
        <w:spacing w:line="293" w:lineRule="atLeast"/>
        <w:ind w:left="360"/>
        <w:jc w:val="both"/>
        <w:rPr>
          <w:b w:val="0"/>
          <w:color w:val="000000"/>
          <w:sz w:val="23"/>
          <w:szCs w:val="23"/>
          <w:lang w:eastAsia="ru-RU"/>
        </w:rPr>
      </w:pPr>
      <w:r w:rsidRPr="00B73070">
        <w:rPr>
          <w:b w:val="0"/>
          <w:color w:val="000000"/>
          <w:sz w:val="23"/>
          <w:szCs w:val="23"/>
          <w:lang w:eastAsia="ru-RU"/>
        </w:rPr>
        <w:t xml:space="preserve">       Среднемесячный объем потребления тепловой энергии на отопление по показаниям прибора учета за предыдущий календарный год, приходящийся на помещение, умножается на тариф на тепловую энергию</w:t>
      </w:r>
      <w:r>
        <w:rPr>
          <w:b w:val="0"/>
          <w:color w:val="000000"/>
          <w:sz w:val="23"/>
          <w:szCs w:val="23"/>
          <w:lang w:eastAsia="ru-RU"/>
        </w:rPr>
        <w:t xml:space="preserve"> (с</w:t>
      </w:r>
      <w:r w:rsidRPr="00B73070">
        <w:rPr>
          <w:b w:val="0"/>
          <w:color w:val="000000"/>
          <w:sz w:val="23"/>
          <w:szCs w:val="23"/>
          <w:lang w:eastAsia="ru-RU"/>
        </w:rPr>
        <w:t xml:space="preserve"> 01.0</w:t>
      </w:r>
      <w:r>
        <w:rPr>
          <w:b w:val="0"/>
          <w:color w:val="000000"/>
          <w:sz w:val="23"/>
          <w:szCs w:val="23"/>
          <w:lang w:eastAsia="ru-RU"/>
        </w:rPr>
        <w:t>1</w:t>
      </w:r>
      <w:r w:rsidRPr="00B73070">
        <w:rPr>
          <w:b w:val="0"/>
          <w:color w:val="000000"/>
          <w:sz w:val="23"/>
          <w:szCs w:val="23"/>
          <w:lang w:eastAsia="ru-RU"/>
        </w:rPr>
        <w:t>.201</w:t>
      </w:r>
      <w:r>
        <w:rPr>
          <w:b w:val="0"/>
          <w:color w:val="000000"/>
          <w:sz w:val="23"/>
          <w:szCs w:val="23"/>
          <w:lang w:eastAsia="ru-RU"/>
        </w:rPr>
        <w:t>7</w:t>
      </w:r>
      <w:r w:rsidRPr="00B73070">
        <w:rPr>
          <w:b w:val="0"/>
          <w:color w:val="000000"/>
          <w:sz w:val="23"/>
          <w:szCs w:val="23"/>
          <w:lang w:eastAsia="ru-RU"/>
        </w:rPr>
        <w:t xml:space="preserve"> г. 2294 руб. 99 коп.</w:t>
      </w:r>
      <w:r>
        <w:rPr>
          <w:b w:val="0"/>
          <w:color w:val="000000"/>
          <w:sz w:val="23"/>
          <w:szCs w:val="23"/>
          <w:lang w:eastAsia="ru-RU"/>
        </w:rPr>
        <w:t>, с 01.07.2017 г. 2384 руб. 50 коп</w:t>
      </w:r>
      <w:proofErr w:type="gramStart"/>
      <w:r>
        <w:rPr>
          <w:b w:val="0"/>
          <w:color w:val="000000"/>
          <w:sz w:val="23"/>
          <w:szCs w:val="23"/>
          <w:lang w:eastAsia="ru-RU"/>
        </w:rPr>
        <w:t>.</w:t>
      </w:r>
      <w:proofErr w:type="gramEnd"/>
      <w:r>
        <w:rPr>
          <w:b w:val="0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b w:val="0"/>
          <w:color w:val="000000"/>
          <w:sz w:val="23"/>
          <w:szCs w:val="23"/>
          <w:lang w:eastAsia="ru-RU"/>
        </w:rPr>
        <w:t>з</w:t>
      </w:r>
      <w:proofErr w:type="gramEnd"/>
      <w:r>
        <w:rPr>
          <w:b w:val="0"/>
          <w:color w:val="000000"/>
          <w:sz w:val="23"/>
          <w:szCs w:val="23"/>
          <w:lang w:eastAsia="ru-RU"/>
        </w:rPr>
        <w:t>а 1 Гкал).</w:t>
      </w:r>
      <w:r w:rsidRPr="00B73070">
        <w:rPr>
          <w:b w:val="0"/>
          <w:color w:val="000000"/>
          <w:sz w:val="23"/>
          <w:szCs w:val="23"/>
          <w:lang w:eastAsia="ru-RU"/>
        </w:rPr>
        <w:t xml:space="preserve"> По окончанию года один раз в год производится корректировка размера платы исходя из показаний общедомового прибора учета за этот прошедший год.</w:t>
      </w:r>
    </w:p>
    <w:p w:rsidR="00B73070" w:rsidRPr="00B73070" w:rsidRDefault="00B73070" w:rsidP="00B73070">
      <w:pPr>
        <w:pStyle w:val="aa"/>
        <w:numPr>
          <w:ilvl w:val="0"/>
          <w:numId w:val="8"/>
        </w:numPr>
        <w:shd w:val="clear" w:color="auto" w:fill="FFFFFF"/>
        <w:tabs>
          <w:tab w:val="clear" w:pos="1560"/>
        </w:tabs>
        <w:spacing w:line="293" w:lineRule="atLeast"/>
        <w:ind w:left="360"/>
        <w:jc w:val="both"/>
        <w:rPr>
          <w:b w:val="0"/>
          <w:color w:val="000000"/>
          <w:sz w:val="23"/>
          <w:szCs w:val="23"/>
          <w:u w:val="single"/>
          <w:lang w:eastAsia="ru-RU"/>
        </w:rPr>
      </w:pPr>
      <w:r w:rsidRPr="00B73070">
        <w:rPr>
          <w:b w:val="0"/>
          <w:color w:val="000000"/>
          <w:sz w:val="23"/>
          <w:szCs w:val="23"/>
          <w:u w:val="single"/>
          <w:lang w:eastAsia="ru-RU"/>
        </w:rPr>
        <w:t>По жилым домам, не оборудованным приборами учета тепловой энергии:</w:t>
      </w:r>
      <w:r w:rsidRPr="00B73070">
        <w:rPr>
          <w:b w:val="0"/>
          <w:color w:val="000000"/>
          <w:sz w:val="23"/>
          <w:szCs w:val="23"/>
          <w:lang w:eastAsia="ru-RU"/>
        </w:rPr>
        <w:t xml:space="preserve"> </w:t>
      </w:r>
    </w:p>
    <w:p w:rsidR="00B73070" w:rsidRPr="00B73070" w:rsidRDefault="00B73070" w:rsidP="00B73070">
      <w:pPr>
        <w:shd w:val="clear" w:color="auto" w:fill="FFFFFF"/>
        <w:spacing w:line="293" w:lineRule="atLeast"/>
        <w:jc w:val="both"/>
        <w:rPr>
          <w:b w:val="0"/>
          <w:color w:val="000000"/>
          <w:sz w:val="23"/>
          <w:szCs w:val="23"/>
          <w:lang w:eastAsia="ru-RU"/>
        </w:rPr>
      </w:pPr>
      <w:r w:rsidRPr="00B73070">
        <w:rPr>
          <w:b w:val="0"/>
          <w:color w:val="000000"/>
          <w:sz w:val="23"/>
          <w:szCs w:val="23"/>
          <w:lang w:eastAsia="ru-RU"/>
        </w:rPr>
        <w:t xml:space="preserve">     Цена за отопление одного квадратного метра площади помещения умножается на площадь   помещения. </w:t>
      </w:r>
    </w:p>
    <w:p w:rsidR="00B73070" w:rsidRDefault="00B73070" w:rsidP="00B73070">
      <w:pPr>
        <w:shd w:val="clear" w:color="auto" w:fill="FFFFFF"/>
        <w:spacing w:line="293" w:lineRule="atLeast"/>
        <w:jc w:val="both"/>
        <w:rPr>
          <w:b w:val="0"/>
          <w:color w:val="000000"/>
          <w:sz w:val="23"/>
          <w:szCs w:val="23"/>
          <w:lang w:eastAsia="ru-RU"/>
        </w:rPr>
      </w:pPr>
      <w:r w:rsidRPr="00B73070">
        <w:rPr>
          <w:b w:val="0"/>
          <w:color w:val="000000"/>
          <w:sz w:val="23"/>
          <w:szCs w:val="23"/>
          <w:lang w:eastAsia="ru-RU"/>
        </w:rPr>
        <w:t xml:space="preserve">     </w:t>
      </w:r>
      <w:proofErr w:type="gramStart"/>
      <w:r w:rsidRPr="00B73070">
        <w:rPr>
          <w:b w:val="0"/>
          <w:color w:val="000000"/>
          <w:sz w:val="23"/>
          <w:szCs w:val="23"/>
          <w:lang w:eastAsia="ru-RU"/>
        </w:rPr>
        <w:t>Цена за отопление одного квадратного метра помещения рассчитывается умножением нормативов потребления тепловой энергии, утвержденных постановлением Правительства Красноярского края от 30.04.2015 № 217-п  «</w:t>
      </w:r>
      <w:r w:rsidRPr="00B73070">
        <w:rPr>
          <w:rFonts w:ascii="Arial" w:hAnsi="Arial" w:cs="Arial"/>
          <w:b w:val="0"/>
          <w:color w:val="000000"/>
          <w:sz w:val="23"/>
          <w:szCs w:val="23"/>
          <w:lang w:eastAsia="ru-RU"/>
        </w:rPr>
        <w:t>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КРАЯ»</w:t>
      </w:r>
      <w:r w:rsidRPr="00B73070">
        <w:rPr>
          <w:b w:val="0"/>
          <w:color w:val="000000"/>
          <w:sz w:val="23"/>
          <w:szCs w:val="23"/>
          <w:lang w:eastAsia="ru-RU"/>
        </w:rPr>
        <w:t xml:space="preserve"> приложение № 32, и </w:t>
      </w:r>
      <w:r w:rsidRPr="00B73070">
        <w:rPr>
          <w:b w:val="0"/>
          <w:color w:val="000000"/>
          <w:sz w:val="23"/>
          <w:szCs w:val="23"/>
          <w:lang w:eastAsia="ru-RU"/>
        </w:rPr>
        <w:lastRenderedPageBreak/>
        <w:t>постановлением  Правительства Красноярского края от 21.06.2016 № 305-п, на тариф на</w:t>
      </w:r>
      <w:proofErr w:type="gramEnd"/>
      <w:r w:rsidRPr="00B73070">
        <w:rPr>
          <w:b w:val="0"/>
          <w:color w:val="000000"/>
          <w:sz w:val="23"/>
          <w:szCs w:val="23"/>
          <w:lang w:eastAsia="ru-RU"/>
        </w:rPr>
        <w:t xml:space="preserve"> тепловую энергию</w:t>
      </w:r>
      <w:r>
        <w:rPr>
          <w:b w:val="0"/>
          <w:color w:val="000000"/>
          <w:sz w:val="23"/>
          <w:szCs w:val="23"/>
          <w:lang w:eastAsia="ru-RU"/>
        </w:rPr>
        <w:t xml:space="preserve"> и </w:t>
      </w:r>
      <w:r w:rsidRPr="00B73070">
        <w:rPr>
          <w:b w:val="0"/>
          <w:color w:val="000000"/>
          <w:sz w:val="23"/>
          <w:szCs w:val="23"/>
          <w:lang w:eastAsia="ru-RU"/>
        </w:rPr>
        <w:t xml:space="preserve">составляет: </w:t>
      </w:r>
    </w:p>
    <w:p w:rsidR="00B73070" w:rsidRPr="00B73070" w:rsidRDefault="00B73070" w:rsidP="00B73070">
      <w:pPr>
        <w:shd w:val="clear" w:color="auto" w:fill="FFFFFF"/>
        <w:spacing w:line="293" w:lineRule="atLeast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на 1 полугодие 2017 года (с 1 января по 30 июня):</w:t>
      </w:r>
    </w:p>
    <w:tbl>
      <w:tblPr>
        <w:tblStyle w:val="ab"/>
        <w:tblW w:w="0" w:type="auto"/>
        <w:tblInd w:w="392" w:type="dxa"/>
        <w:tblLook w:val="04A0"/>
      </w:tblPr>
      <w:tblGrid>
        <w:gridCol w:w="495"/>
        <w:gridCol w:w="176"/>
        <w:gridCol w:w="1979"/>
        <w:gridCol w:w="2311"/>
        <w:gridCol w:w="2300"/>
        <w:gridCol w:w="2076"/>
      </w:tblGrid>
      <w:tr w:rsidR="00B73070" w:rsidRPr="00B73070" w:rsidTr="008516A2">
        <w:trPr>
          <w:trHeight w:val="135"/>
        </w:trPr>
        <w:tc>
          <w:tcPr>
            <w:tcW w:w="671" w:type="dxa"/>
            <w:gridSpan w:val="2"/>
            <w:vMerge w:val="restart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 xml:space="preserve">№ </w:t>
            </w:r>
            <w:proofErr w:type="spellStart"/>
            <w:proofErr w:type="gramStart"/>
            <w:r w:rsidRPr="00B73070">
              <w:rPr>
                <w:rFonts w:ascii="Arial" w:hAnsi="Arial" w:cs="Arial"/>
                <w:b w:val="0"/>
              </w:rPr>
              <w:t>п</w:t>
            </w:r>
            <w:proofErr w:type="spellEnd"/>
            <w:proofErr w:type="gramEnd"/>
            <w:r w:rsidRPr="00B73070">
              <w:rPr>
                <w:rFonts w:ascii="Arial" w:hAnsi="Arial" w:cs="Arial"/>
                <w:b w:val="0"/>
              </w:rPr>
              <w:t>/</w:t>
            </w:r>
            <w:proofErr w:type="spellStart"/>
            <w:r w:rsidRPr="00B73070">
              <w:rPr>
                <w:rFonts w:ascii="Arial" w:hAnsi="Arial" w:cs="Arial"/>
                <w:b w:val="0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Категория многоквартирного (жилого) дома</w:t>
            </w:r>
          </w:p>
        </w:tc>
        <w:tc>
          <w:tcPr>
            <w:tcW w:w="6687" w:type="dxa"/>
            <w:gridSpan w:val="3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Цена за отопление (руб. за 1 кв. метр общей площади жилого помещения в месяц)</w:t>
            </w:r>
          </w:p>
        </w:tc>
      </w:tr>
      <w:tr w:rsidR="00B73070" w:rsidRPr="00B73070" w:rsidTr="008516A2">
        <w:trPr>
          <w:trHeight w:val="135"/>
        </w:trPr>
        <w:tc>
          <w:tcPr>
            <w:tcW w:w="671" w:type="dxa"/>
            <w:gridSpan w:val="2"/>
            <w:vMerge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979" w:type="dxa"/>
            <w:vMerge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11" w:type="dxa"/>
            <w:vAlign w:val="center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Многоквартирные и жилые дома со стенами из камня, кирпича</w:t>
            </w:r>
          </w:p>
        </w:tc>
        <w:tc>
          <w:tcPr>
            <w:tcW w:w="2300" w:type="dxa"/>
            <w:vAlign w:val="center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Многоквартирные и жилые дома со стенами из панелей, блоков</w:t>
            </w:r>
          </w:p>
        </w:tc>
        <w:tc>
          <w:tcPr>
            <w:tcW w:w="2076" w:type="dxa"/>
            <w:vAlign w:val="center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B73070" w:rsidRPr="00B73070" w:rsidTr="008516A2">
        <w:tc>
          <w:tcPr>
            <w:tcW w:w="671" w:type="dxa"/>
            <w:gridSpan w:val="2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79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11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300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076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5</w:t>
            </w:r>
          </w:p>
        </w:tc>
      </w:tr>
      <w:tr w:rsidR="00B73070" w:rsidRPr="00B73070" w:rsidTr="008516A2">
        <w:tc>
          <w:tcPr>
            <w:tcW w:w="2650" w:type="dxa"/>
            <w:gridSpan w:val="3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Этажность</w:t>
            </w:r>
          </w:p>
        </w:tc>
        <w:tc>
          <w:tcPr>
            <w:tcW w:w="6687" w:type="dxa"/>
            <w:gridSpan w:val="3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B73070">
              <w:rPr>
                <w:rFonts w:ascii="Arial" w:hAnsi="Arial" w:cs="Arial"/>
                <w:b w:val="0"/>
                <w:sz w:val="19"/>
                <w:szCs w:val="19"/>
              </w:rPr>
              <w:t>Многоквартирные и жилые дома до 1999 года постройки включительно</w:t>
            </w:r>
          </w:p>
        </w:tc>
      </w:tr>
      <w:tr w:rsidR="00B73070" w:rsidRPr="00B73070" w:rsidTr="008516A2">
        <w:tc>
          <w:tcPr>
            <w:tcW w:w="495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1.1</w:t>
            </w:r>
          </w:p>
        </w:tc>
        <w:tc>
          <w:tcPr>
            <w:tcW w:w="2155" w:type="dxa"/>
            <w:gridSpan w:val="2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11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76,19</w:t>
            </w:r>
          </w:p>
        </w:tc>
        <w:tc>
          <w:tcPr>
            <w:tcW w:w="2300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76,19</w:t>
            </w:r>
          </w:p>
        </w:tc>
        <w:tc>
          <w:tcPr>
            <w:tcW w:w="2076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76,19</w:t>
            </w:r>
          </w:p>
        </w:tc>
      </w:tr>
      <w:tr w:rsidR="00B73070" w:rsidRPr="00B73070" w:rsidTr="008516A2">
        <w:tc>
          <w:tcPr>
            <w:tcW w:w="495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1.2</w:t>
            </w:r>
          </w:p>
        </w:tc>
        <w:tc>
          <w:tcPr>
            <w:tcW w:w="2155" w:type="dxa"/>
            <w:gridSpan w:val="2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11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76,65</w:t>
            </w:r>
          </w:p>
        </w:tc>
        <w:tc>
          <w:tcPr>
            <w:tcW w:w="2300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77,80</w:t>
            </w:r>
          </w:p>
        </w:tc>
        <w:tc>
          <w:tcPr>
            <w:tcW w:w="2076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77,34</w:t>
            </w:r>
          </w:p>
        </w:tc>
      </w:tr>
      <w:tr w:rsidR="00B73070" w:rsidRPr="00B73070" w:rsidTr="008516A2">
        <w:tc>
          <w:tcPr>
            <w:tcW w:w="2650" w:type="dxa"/>
            <w:gridSpan w:val="3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Этажность</w:t>
            </w:r>
          </w:p>
        </w:tc>
        <w:tc>
          <w:tcPr>
            <w:tcW w:w="6687" w:type="dxa"/>
            <w:gridSpan w:val="3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  <w:sz w:val="19"/>
                <w:szCs w:val="19"/>
              </w:rPr>
              <w:t xml:space="preserve">Многоквартирные и жилые дома после 1999 года постройки </w:t>
            </w:r>
          </w:p>
        </w:tc>
      </w:tr>
      <w:tr w:rsidR="00B73070" w:rsidRPr="00B73070" w:rsidTr="008516A2">
        <w:tc>
          <w:tcPr>
            <w:tcW w:w="495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2.1</w:t>
            </w:r>
          </w:p>
        </w:tc>
        <w:tc>
          <w:tcPr>
            <w:tcW w:w="2155" w:type="dxa"/>
            <w:gridSpan w:val="2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11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B73070">
              <w:rPr>
                <w:rFonts w:ascii="Arial" w:hAnsi="Arial" w:cs="Arial"/>
                <w:b w:val="0"/>
                <w:sz w:val="19"/>
                <w:szCs w:val="19"/>
              </w:rPr>
              <w:t>32,82</w:t>
            </w:r>
          </w:p>
        </w:tc>
        <w:tc>
          <w:tcPr>
            <w:tcW w:w="2300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B73070">
              <w:rPr>
                <w:rFonts w:ascii="Arial" w:hAnsi="Arial" w:cs="Arial"/>
                <w:b w:val="0"/>
                <w:sz w:val="19"/>
                <w:szCs w:val="19"/>
              </w:rPr>
              <w:t>32,82</w:t>
            </w:r>
          </w:p>
        </w:tc>
        <w:tc>
          <w:tcPr>
            <w:tcW w:w="2076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B73070">
              <w:rPr>
                <w:rFonts w:ascii="Arial" w:hAnsi="Arial" w:cs="Arial"/>
                <w:b w:val="0"/>
                <w:sz w:val="19"/>
                <w:szCs w:val="19"/>
              </w:rPr>
              <w:t>32,82</w:t>
            </w:r>
          </w:p>
        </w:tc>
      </w:tr>
      <w:tr w:rsidR="00B73070" w:rsidRPr="00B73070" w:rsidTr="008516A2">
        <w:tc>
          <w:tcPr>
            <w:tcW w:w="495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2.2</w:t>
            </w:r>
          </w:p>
        </w:tc>
        <w:tc>
          <w:tcPr>
            <w:tcW w:w="2155" w:type="dxa"/>
            <w:gridSpan w:val="2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11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B73070">
              <w:rPr>
                <w:rFonts w:ascii="Arial" w:hAnsi="Arial" w:cs="Arial"/>
                <w:b w:val="0"/>
                <w:sz w:val="19"/>
                <w:szCs w:val="19"/>
              </w:rPr>
              <w:t>32,36</w:t>
            </w:r>
          </w:p>
        </w:tc>
        <w:tc>
          <w:tcPr>
            <w:tcW w:w="2300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B73070">
              <w:rPr>
                <w:rFonts w:ascii="Arial" w:hAnsi="Arial" w:cs="Arial"/>
                <w:b w:val="0"/>
                <w:sz w:val="19"/>
                <w:szCs w:val="19"/>
              </w:rPr>
              <w:t>30,06</w:t>
            </w:r>
          </w:p>
        </w:tc>
        <w:tc>
          <w:tcPr>
            <w:tcW w:w="2076" w:type="dxa"/>
          </w:tcPr>
          <w:p w:rsidR="00B73070" w:rsidRPr="00B73070" w:rsidRDefault="00B73070" w:rsidP="00B73070">
            <w:pPr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</w:tr>
    </w:tbl>
    <w:p w:rsidR="00B73070" w:rsidRDefault="00B73070" w:rsidP="00B73070">
      <w:pPr>
        <w:rPr>
          <w:rFonts w:ascii="Arial" w:hAnsi="Arial" w:cs="Arial"/>
          <w:b w:val="0"/>
          <w:sz w:val="10"/>
          <w:szCs w:val="10"/>
        </w:rPr>
      </w:pPr>
      <w:r>
        <w:rPr>
          <w:rFonts w:ascii="Arial" w:hAnsi="Arial" w:cs="Arial"/>
          <w:b w:val="0"/>
          <w:sz w:val="10"/>
          <w:szCs w:val="10"/>
        </w:rPr>
        <w:t xml:space="preserve"> </w:t>
      </w:r>
    </w:p>
    <w:p w:rsidR="00B73070" w:rsidRDefault="00B73070" w:rsidP="00B73070">
      <w:pPr>
        <w:rPr>
          <w:rFonts w:ascii="Arial" w:hAnsi="Arial" w:cs="Arial"/>
          <w:b w:val="0"/>
          <w:sz w:val="10"/>
          <w:szCs w:val="10"/>
        </w:rPr>
      </w:pPr>
    </w:p>
    <w:p w:rsidR="00B73070" w:rsidRPr="00B73070" w:rsidRDefault="00B73070" w:rsidP="00B73070">
      <w:pPr>
        <w:shd w:val="clear" w:color="auto" w:fill="FFFFFF"/>
        <w:spacing w:line="293" w:lineRule="atLeast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на 2 полугодие 2017 года (с 1 июля по 31 декабря):</w:t>
      </w:r>
    </w:p>
    <w:tbl>
      <w:tblPr>
        <w:tblStyle w:val="ab"/>
        <w:tblW w:w="0" w:type="auto"/>
        <w:tblInd w:w="392" w:type="dxa"/>
        <w:tblLook w:val="04A0"/>
      </w:tblPr>
      <w:tblGrid>
        <w:gridCol w:w="495"/>
        <w:gridCol w:w="176"/>
        <w:gridCol w:w="1979"/>
        <w:gridCol w:w="2311"/>
        <w:gridCol w:w="2300"/>
        <w:gridCol w:w="2076"/>
      </w:tblGrid>
      <w:tr w:rsidR="00B73070" w:rsidRPr="00B73070" w:rsidTr="00B70AC3">
        <w:trPr>
          <w:trHeight w:val="135"/>
        </w:trPr>
        <w:tc>
          <w:tcPr>
            <w:tcW w:w="671" w:type="dxa"/>
            <w:gridSpan w:val="2"/>
            <w:vMerge w:val="restart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 xml:space="preserve">№ </w:t>
            </w:r>
            <w:proofErr w:type="spellStart"/>
            <w:proofErr w:type="gramStart"/>
            <w:r w:rsidRPr="00B73070">
              <w:rPr>
                <w:rFonts w:ascii="Arial" w:hAnsi="Arial" w:cs="Arial"/>
                <w:b w:val="0"/>
              </w:rPr>
              <w:t>п</w:t>
            </w:r>
            <w:proofErr w:type="spellEnd"/>
            <w:proofErr w:type="gramEnd"/>
            <w:r w:rsidRPr="00B73070">
              <w:rPr>
                <w:rFonts w:ascii="Arial" w:hAnsi="Arial" w:cs="Arial"/>
                <w:b w:val="0"/>
              </w:rPr>
              <w:t>/</w:t>
            </w:r>
            <w:proofErr w:type="spellStart"/>
            <w:r w:rsidRPr="00B73070">
              <w:rPr>
                <w:rFonts w:ascii="Arial" w:hAnsi="Arial" w:cs="Arial"/>
                <w:b w:val="0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Категория многоквартирного (жилого) дома</w:t>
            </w:r>
          </w:p>
        </w:tc>
        <w:tc>
          <w:tcPr>
            <w:tcW w:w="6687" w:type="dxa"/>
            <w:gridSpan w:val="3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Цена за отопление (руб. за 1 кв. метр общей площади жилого помещения в месяц)</w:t>
            </w:r>
          </w:p>
        </w:tc>
      </w:tr>
      <w:tr w:rsidR="00B73070" w:rsidRPr="00B73070" w:rsidTr="00B70AC3">
        <w:trPr>
          <w:trHeight w:val="135"/>
        </w:trPr>
        <w:tc>
          <w:tcPr>
            <w:tcW w:w="671" w:type="dxa"/>
            <w:gridSpan w:val="2"/>
            <w:vMerge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979" w:type="dxa"/>
            <w:vMerge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11" w:type="dxa"/>
            <w:vAlign w:val="center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Многоквартирные и жилые дома со стенами из камня, кирпича</w:t>
            </w:r>
          </w:p>
        </w:tc>
        <w:tc>
          <w:tcPr>
            <w:tcW w:w="2300" w:type="dxa"/>
            <w:vAlign w:val="center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Многоквартирные и жилые дома со стенами из панелей, блоков</w:t>
            </w:r>
          </w:p>
        </w:tc>
        <w:tc>
          <w:tcPr>
            <w:tcW w:w="2076" w:type="dxa"/>
            <w:vAlign w:val="center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B73070" w:rsidRPr="00B73070" w:rsidTr="00B70AC3">
        <w:tc>
          <w:tcPr>
            <w:tcW w:w="671" w:type="dxa"/>
            <w:gridSpan w:val="2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79" w:type="dxa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11" w:type="dxa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300" w:type="dxa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076" w:type="dxa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5</w:t>
            </w:r>
          </w:p>
        </w:tc>
      </w:tr>
      <w:tr w:rsidR="00B73070" w:rsidRPr="00B73070" w:rsidTr="00B70AC3">
        <w:tc>
          <w:tcPr>
            <w:tcW w:w="2650" w:type="dxa"/>
            <w:gridSpan w:val="3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Этажность</w:t>
            </w:r>
          </w:p>
        </w:tc>
        <w:tc>
          <w:tcPr>
            <w:tcW w:w="6687" w:type="dxa"/>
            <w:gridSpan w:val="3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B73070">
              <w:rPr>
                <w:rFonts w:ascii="Arial" w:hAnsi="Arial" w:cs="Arial"/>
                <w:b w:val="0"/>
                <w:sz w:val="19"/>
                <w:szCs w:val="19"/>
              </w:rPr>
              <w:t>Многоквартирные и жилые дома до 1999 года постройки включительно</w:t>
            </w:r>
          </w:p>
        </w:tc>
      </w:tr>
      <w:tr w:rsidR="00B73070" w:rsidRPr="00B73070" w:rsidTr="00B70AC3">
        <w:tc>
          <w:tcPr>
            <w:tcW w:w="495" w:type="dxa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1.1</w:t>
            </w:r>
          </w:p>
        </w:tc>
        <w:tc>
          <w:tcPr>
            <w:tcW w:w="2155" w:type="dxa"/>
            <w:gridSpan w:val="2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11" w:type="dxa"/>
          </w:tcPr>
          <w:p w:rsidR="00B73070" w:rsidRPr="00B73070" w:rsidRDefault="00523713" w:rsidP="00B70A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79,16</w:t>
            </w:r>
          </w:p>
        </w:tc>
        <w:tc>
          <w:tcPr>
            <w:tcW w:w="2300" w:type="dxa"/>
          </w:tcPr>
          <w:p w:rsidR="00B73070" w:rsidRPr="00B73070" w:rsidRDefault="00AA569C" w:rsidP="00B70A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79,16</w:t>
            </w:r>
          </w:p>
        </w:tc>
        <w:tc>
          <w:tcPr>
            <w:tcW w:w="2076" w:type="dxa"/>
          </w:tcPr>
          <w:p w:rsidR="00B73070" w:rsidRPr="00B73070" w:rsidRDefault="00AA569C" w:rsidP="00B70A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79,16</w:t>
            </w:r>
          </w:p>
        </w:tc>
      </w:tr>
      <w:tr w:rsidR="00B73070" w:rsidRPr="00B73070" w:rsidTr="00B70AC3">
        <w:tc>
          <w:tcPr>
            <w:tcW w:w="495" w:type="dxa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1.2</w:t>
            </w:r>
          </w:p>
        </w:tc>
        <w:tc>
          <w:tcPr>
            <w:tcW w:w="2155" w:type="dxa"/>
            <w:gridSpan w:val="2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11" w:type="dxa"/>
          </w:tcPr>
          <w:p w:rsidR="00B73070" w:rsidRPr="00B73070" w:rsidRDefault="00523713" w:rsidP="00B70A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79,64</w:t>
            </w:r>
          </w:p>
        </w:tc>
        <w:tc>
          <w:tcPr>
            <w:tcW w:w="2300" w:type="dxa"/>
          </w:tcPr>
          <w:p w:rsidR="00B73070" w:rsidRPr="00B73070" w:rsidRDefault="00AA569C" w:rsidP="00B70A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80,83</w:t>
            </w:r>
          </w:p>
        </w:tc>
        <w:tc>
          <w:tcPr>
            <w:tcW w:w="2076" w:type="dxa"/>
          </w:tcPr>
          <w:p w:rsidR="00B73070" w:rsidRPr="00B73070" w:rsidRDefault="00AA569C" w:rsidP="00B70A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80,36</w:t>
            </w:r>
          </w:p>
        </w:tc>
      </w:tr>
      <w:tr w:rsidR="00B73070" w:rsidRPr="00B73070" w:rsidTr="00B70AC3">
        <w:tc>
          <w:tcPr>
            <w:tcW w:w="2650" w:type="dxa"/>
            <w:gridSpan w:val="3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Этажность</w:t>
            </w:r>
          </w:p>
        </w:tc>
        <w:tc>
          <w:tcPr>
            <w:tcW w:w="6687" w:type="dxa"/>
            <w:gridSpan w:val="3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  <w:sz w:val="19"/>
                <w:szCs w:val="19"/>
              </w:rPr>
              <w:t xml:space="preserve">Многоквартирные и жилые дома после 1999 года постройки </w:t>
            </w:r>
          </w:p>
        </w:tc>
      </w:tr>
      <w:tr w:rsidR="00B73070" w:rsidRPr="00B73070" w:rsidTr="00B70AC3">
        <w:tc>
          <w:tcPr>
            <w:tcW w:w="495" w:type="dxa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2.1</w:t>
            </w:r>
          </w:p>
        </w:tc>
        <w:tc>
          <w:tcPr>
            <w:tcW w:w="2155" w:type="dxa"/>
            <w:gridSpan w:val="2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11" w:type="dxa"/>
          </w:tcPr>
          <w:p w:rsidR="00B73070" w:rsidRPr="00B73070" w:rsidRDefault="00175276" w:rsidP="00B70AC3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34,10</w:t>
            </w:r>
          </w:p>
        </w:tc>
        <w:tc>
          <w:tcPr>
            <w:tcW w:w="2300" w:type="dxa"/>
          </w:tcPr>
          <w:p w:rsidR="00B73070" w:rsidRPr="00B73070" w:rsidRDefault="00175276" w:rsidP="00B70AC3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34,10</w:t>
            </w:r>
          </w:p>
        </w:tc>
        <w:tc>
          <w:tcPr>
            <w:tcW w:w="2076" w:type="dxa"/>
          </w:tcPr>
          <w:p w:rsidR="00B73070" w:rsidRPr="00B73070" w:rsidRDefault="00175276" w:rsidP="00B70AC3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34,10</w:t>
            </w:r>
          </w:p>
        </w:tc>
      </w:tr>
      <w:tr w:rsidR="00B73070" w:rsidRPr="00B73070" w:rsidTr="00B70AC3">
        <w:tc>
          <w:tcPr>
            <w:tcW w:w="495" w:type="dxa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2.2</w:t>
            </w:r>
          </w:p>
        </w:tc>
        <w:tc>
          <w:tcPr>
            <w:tcW w:w="2155" w:type="dxa"/>
            <w:gridSpan w:val="2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</w:rPr>
            </w:pPr>
            <w:r w:rsidRPr="00B73070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11" w:type="dxa"/>
          </w:tcPr>
          <w:p w:rsidR="00B73070" w:rsidRPr="00B73070" w:rsidRDefault="00175276" w:rsidP="00B70AC3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33,62</w:t>
            </w:r>
          </w:p>
        </w:tc>
        <w:tc>
          <w:tcPr>
            <w:tcW w:w="2300" w:type="dxa"/>
          </w:tcPr>
          <w:p w:rsidR="00B73070" w:rsidRPr="00B73070" w:rsidRDefault="00175276" w:rsidP="00B70AC3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31,23</w:t>
            </w:r>
          </w:p>
        </w:tc>
        <w:tc>
          <w:tcPr>
            <w:tcW w:w="2076" w:type="dxa"/>
          </w:tcPr>
          <w:p w:rsidR="00B73070" w:rsidRPr="00B73070" w:rsidRDefault="00B73070" w:rsidP="00B70AC3">
            <w:pPr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</w:tr>
    </w:tbl>
    <w:p w:rsidR="00B73070" w:rsidRPr="00B73070" w:rsidRDefault="00B73070" w:rsidP="00B73070">
      <w:pPr>
        <w:rPr>
          <w:rFonts w:ascii="Arial" w:hAnsi="Arial" w:cs="Arial"/>
          <w:b w:val="0"/>
          <w:sz w:val="10"/>
          <w:szCs w:val="10"/>
        </w:rPr>
      </w:pPr>
    </w:p>
    <w:p w:rsidR="00B73070" w:rsidRDefault="00B73070" w:rsidP="00175276">
      <w:pPr>
        <w:jc w:val="both"/>
        <w:rPr>
          <w:b w:val="0"/>
          <w:sz w:val="23"/>
          <w:szCs w:val="23"/>
        </w:rPr>
      </w:pPr>
      <w:r w:rsidRPr="00B73070">
        <w:rPr>
          <w:b w:val="0"/>
          <w:sz w:val="23"/>
          <w:szCs w:val="23"/>
        </w:rPr>
        <w:t xml:space="preserve">         Начисление платежей населению за отопление осуществляется </w:t>
      </w:r>
      <w:r w:rsidR="00175276" w:rsidRPr="00B73070">
        <w:rPr>
          <w:b w:val="0"/>
          <w:sz w:val="23"/>
          <w:szCs w:val="23"/>
          <w:u w:val="single"/>
        </w:rPr>
        <w:t>при отсутствии задолженностей</w:t>
      </w:r>
      <w:r w:rsidR="00175276" w:rsidRPr="00B73070">
        <w:rPr>
          <w:b w:val="0"/>
          <w:sz w:val="23"/>
          <w:szCs w:val="23"/>
        </w:rPr>
        <w:t xml:space="preserve"> по оплат</w:t>
      </w:r>
      <w:r w:rsidR="00175276">
        <w:rPr>
          <w:b w:val="0"/>
          <w:sz w:val="23"/>
          <w:szCs w:val="23"/>
        </w:rPr>
        <w:t>е за каждую коммунальную услугу</w:t>
      </w:r>
      <w:r w:rsidR="00175276" w:rsidRPr="00B73070">
        <w:rPr>
          <w:b w:val="0"/>
          <w:sz w:val="23"/>
          <w:szCs w:val="23"/>
        </w:rPr>
        <w:t xml:space="preserve"> </w:t>
      </w:r>
      <w:r w:rsidRPr="00B73070">
        <w:rPr>
          <w:b w:val="0"/>
          <w:sz w:val="23"/>
          <w:szCs w:val="23"/>
        </w:rPr>
        <w:t>с учетом предельного (максимального) индекса изменения размера вносимой гражданами платы за совокупность коммунальных услуг по отношению к размеру платы за коммунальные услуги, рассчитанному исходя из тарифов и нормативов, действующих по состоянию на декабрь 201</w:t>
      </w:r>
      <w:r w:rsidR="00175276">
        <w:rPr>
          <w:b w:val="0"/>
          <w:sz w:val="23"/>
          <w:szCs w:val="23"/>
        </w:rPr>
        <w:t>6</w:t>
      </w:r>
      <w:r w:rsidRPr="00B73070">
        <w:rPr>
          <w:b w:val="0"/>
          <w:sz w:val="23"/>
          <w:szCs w:val="23"/>
        </w:rPr>
        <w:t xml:space="preserve"> г. </w:t>
      </w:r>
    </w:p>
    <w:p w:rsidR="00175276" w:rsidRPr="00B73070" w:rsidRDefault="00175276" w:rsidP="00175276">
      <w:pPr>
        <w:jc w:val="both"/>
        <w:rPr>
          <w:b w:val="0"/>
          <w:sz w:val="23"/>
          <w:szCs w:val="23"/>
        </w:rPr>
      </w:pPr>
      <w:r>
        <w:rPr>
          <w:b w:val="0"/>
          <w:sz w:val="24"/>
          <w:szCs w:val="24"/>
        </w:rPr>
        <w:t xml:space="preserve">         </w:t>
      </w:r>
      <w:r w:rsidRPr="00B73070">
        <w:rPr>
          <w:b w:val="0"/>
          <w:sz w:val="24"/>
          <w:szCs w:val="24"/>
        </w:rPr>
        <w:t xml:space="preserve">С информацией, подлежащей раскрытию ООО «Тепловик-2» в связи с утверждением  тарифа на тепловую энергию, в полном объеме можно ознакомиться на сайте администрации Ермаковского района </w:t>
      </w:r>
      <w:hyperlink r:id="rId6" w:history="1">
        <w:r w:rsidRPr="00B73070">
          <w:rPr>
            <w:rStyle w:val="a7"/>
            <w:b w:val="0"/>
            <w:sz w:val="24"/>
            <w:szCs w:val="24"/>
            <w:lang w:val="en-US"/>
          </w:rPr>
          <w:t>www</w:t>
        </w:r>
        <w:r w:rsidRPr="00B73070">
          <w:rPr>
            <w:rStyle w:val="a7"/>
            <w:b w:val="0"/>
            <w:sz w:val="24"/>
            <w:szCs w:val="24"/>
          </w:rPr>
          <w:t>.</w:t>
        </w:r>
        <w:proofErr w:type="spellStart"/>
        <w:r w:rsidRPr="00B73070">
          <w:rPr>
            <w:rStyle w:val="a7"/>
            <w:b w:val="0"/>
            <w:sz w:val="24"/>
            <w:szCs w:val="24"/>
            <w:lang w:val="en-US"/>
          </w:rPr>
          <w:t>adminerm</w:t>
        </w:r>
        <w:proofErr w:type="spellEnd"/>
        <w:r w:rsidRPr="00B73070">
          <w:rPr>
            <w:rStyle w:val="a7"/>
            <w:b w:val="0"/>
            <w:sz w:val="24"/>
            <w:szCs w:val="24"/>
          </w:rPr>
          <w:t>.</w:t>
        </w:r>
        <w:proofErr w:type="spellStart"/>
        <w:r w:rsidRPr="00B73070">
          <w:rPr>
            <w:rStyle w:val="a7"/>
            <w:b w:val="0"/>
            <w:sz w:val="24"/>
            <w:szCs w:val="24"/>
            <w:lang w:val="en-US"/>
          </w:rPr>
          <w:t>ru</w:t>
        </w:r>
        <w:proofErr w:type="spellEnd"/>
      </w:hyperlink>
      <w:r w:rsidRPr="00B73070">
        <w:rPr>
          <w:b w:val="0"/>
          <w:sz w:val="24"/>
          <w:szCs w:val="24"/>
        </w:rPr>
        <w:t>.</w:t>
      </w:r>
    </w:p>
    <w:p w:rsidR="00B73070" w:rsidRPr="00B73070" w:rsidRDefault="00B73070" w:rsidP="00B73070">
      <w:pPr>
        <w:jc w:val="right"/>
        <w:rPr>
          <w:b w:val="0"/>
          <w:i/>
          <w:sz w:val="24"/>
          <w:szCs w:val="24"/>
        </w:rPr>
      </w:pPr>
      <w:r w:rsidRPr="00B73070">
        <w:rPr>
          <w:b w:val="0"/>
          <w:i/>
          <w:sz w:val="22"/>
          <w:szCs w:val="22"/>
        </w:rPr>
        <w:t>Администрация ООО «Тепловик-2»</w:t>
      </w:r>
      <w:r w:rsidRPr="00B73070">
        <w:rPr>
          <w:b w:val="0"/>
          <w:i/>
          <w:sz w:val="24"/>
          <w:szCs w:val="24"/>
        </w:rPr>
        <w:t xml:space="preserve"> </w:t>
      </w:r>
    </w:p>
    <w:p w:rsidR="009C0584" w:rsidRPr="00B73070" w:rsidRDefault="009C0584" w:rsidP="00B73070">
      <w:pPr>
        <w:jc w:val="both"/>
        <w:rPr>
          <w:b w:val="0"/>
          <w:sz w:val="24"/>
          <w:szCs w:val="24"/>
        </w:rPr>
      </w:pPr>
    </w:p>
    <w:p w:rsidR="00937BAB" w:rsidRPr="00B73070" w:rsidRDefault="00937BAB" w:rsidP="00B73070">
      <w:pPr>
        <w:jc w:val="both"/>
        <w:rPr>
          <w:b w:val="0"/>
          <w:sz w:val="24"/>
          <w:szCs w:val="24"/>
        </w:rPr>
      </w:pPr>
      <w:r w:rsidRPr="00B73070">
        <w:rPr>
          <w:b w:val="0"/>
          <w:sz w:val="24"/>
          <w:szCs w:val="24"/>
        </w:rPr>
        <w:t xml:space="preserve">  </w:t>
      </w:r>
      <w:r w:rsidR="00540184" w:rsidRPr="00B73070">
        <w:rPr>
          <w:b w:val="0"/>
          <w:sz w:val="24"/>
          <w:szCs w:val="24"/>
        </w:rPr>
        <w:t xml:space="preserve"> </w:t>
      </w:r>
      <w:r w:rsidRPr="00B73070">
        <w:rPr>
          <w:b w:val="0"/>
          <w:sz w:val="24"/>
          <w:szCs w:val="24"/>
        </w:rPr>
        <w:t xml:space="preserve">  </w:t>
      </w:r>
    </w:p>
    <w:p w:rsidR="00B215C5" w:rsidRPr="00B73070" w:rsidRDefault="00B215C5" w:rsidP="00B73070">
      <w:pPr>
        <w:jc w:val="both"/>
        <w:rPr>
          <w:b w:val="0"/>
          <w:sz w:val="28"/>
          <w:szCs w:val="28"/>
        </w:rPr>
      </w:pPr>
    </w:p>
    <w:sectPr w:rsidR="00B215C5" w:rsidRPr="00B73070" w:rsidSect="00BE40A8">
      <w:footnotePr>
        <w:pos w:val="beneathText"/>
      </w:footnotePr>
      <w:pgSz w:w="12240" w:h="15840"/>
      <w:pgMar w:top="737" w:right="851" w:bottom="73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02BF8"/>
    <w:multiLevelType w:val="hybridMultilevel"/>
    <w:tmpl w:val="76E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1902"/>
    <w:multiLevelType w:val="hybridMultilevel"/>
    <w:tmpl w:val="DA90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E88"/>
    <w:multiLevelType w:val="hybridMultilevel"/>
    <w:tmpl w:val="255E0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E8537A"/>
    <w:multiLevelType w:val="hybridMultilevel"/>
    <w:tmpl w:val="4FC4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3B1C"/>
    <w:multiLevelType w:val="hybridMultilevel"/>
    <w:tmpl w:val="C74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24650"/>
    <w:multiLevelType w:val="hybridMultilevel"/>
    <w:tmpl w:val="78F240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8146F4"/>
    <w:multiLevelType w:val="hybridMultilevel"/>
    <w:tmpl w:val="7756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C67D6"/>
    <w:rsid w:val="000424A3"/>
    <w:rsid w:val="00071E43"/>
    <w:rsid w:val="000748FB"/>
    <w:rsid w:val="000814F7"/>
    <w:rsid w:val="000849CF"/>
    <w:rsid w:val="000A1D67"/>
    <w:rsid w:val="000A6921"/>
    <w:rsid w:val="000B79E9"/>
    <w:rsid w:val="000C039E"/>
    <w:rsid w:val="000C0F32"/>
    <w:rsid w:val="000C3746"/>
    <w:rsid w:val="000D72F4"/>
    <w:rsid w:val="000E2F53"/>
    <w:rsid w:val="000E78EC"/>
    <w:rsid w:val="00104C36"/>
    <w:rsid w:val="001330A6"/>
    <w:rsid w:val="00133749"/>
    <w:rsid w:val="001612C4"/>
    <w:rsid w:val="001745C1"/>
    <w:rsid w:val="00175276"/>
    <w:rsid w:val="00177C44"/>
    <w:rsid w:val="00181666"/>
    <w:rsid w:val="001853AE"/>
    <w:rsid w:val="001B5B0C"/>
    <w:rsid w:val="00207D17"/>
    <w:rsid w:val="0021088B"/>
    <w:rsid w:val="0022267C"/>
    <w:rsid w:val="0024091C"/>
    <w:rsid w:val="002518AF"/>
    <w:rsid w:val="002A0AEE"/>
    <w:rsid w:val="002B0D66"/>
    <w:rsid w:val="002B5F56"/>
    <w:rsid w:val="002D08F3"/>
    <w:rsid w:val="002D495F"/>
    <w:rsid w:val="00303504"/>
    <w:rsid w:val="0032588D"/>
    <w:rsid w:val="00357596"/>
    <w:rsid w:val="00376DB2"/>
    <w:rsid w:val="0037726C"/>
    <w:rsid w:val="00384CBA"/>
    <w:rsid w:val="00390A87"/>
    <w:rsid w:val="003B7CD5"/>
    <w:rsid w:val="003D48F5"/>
    <w:rsid w:val="003E3064"/>
    <w:rsid w:val="003E39B9"/>
    <w:rsid w:val="003E4F89"/>
    <w:rsid w:val="003F5839"/>
    <w:rsid w:val="00417105"/>
    <w:rsid w:val="00451AF6"/>
    <w:rsid w:val="00455536"/>
    <w:rsid w:val="0046721E"/>
    <w:rsid w:val="004A1E7D"/>
    <w:rsid w:val="004B2DB8"/>
    <w:rsid w:val="004C1F9B"/>
    <w:rsid w:val="004C5FA3"/>
    <w:rsid w:val="004D7E18"/>
    <w:rsid w:val="00523713"/>
    <w:rsid w:val="00540184"/>
    <w:rsid w:val="00544E5F"/>
    <w:rsid w:val="0054607A"/>
    <w:rsid w:val="00565F2D"/>
    <w:rsid w:val="00567A3C"/>
    <w:rsid w:val="005A75AD"/>
    <w:rsid w:val="005C4C91"/>
    <w:rsid w:val="005D425F"/>
    <w:rsid w:val="005D4EC9"/>
    <w:rsid w:val="005F6060"/>
    <w:rsid w:val="00600D24"/>
    <w:rsid w:val="006404BB"/>
    <w:rsid w:val="00652C5F"/>
    <w:rsid w:val="006A651F"/>
    <w:rsid w:val="006D32C8"/>
    <w:rsid w:val="006D7089"/>
    <w:rsid w:val="006D71B8"/>
    <w:rsid w:val="006E1E8A"/>
    <w:rsid w:val="00726BBF"/>
    <w:rsid w:val="007408D2"/>
    <w:rsid w:val="00740D64"/>
    <w:rsid w:val="00741438"/>
    <w:rsid w:val="00751AF7"/>
    <w:rsid w:val="007A5971"/>
    <w:rsid w:val="007C07C2"/>
    <w:rsid w:val="007C67D6"/>
    <w:rsid w:val="007C729C"/>
    <w:rsid w:val="007C7A5F"/>
    <w:rsid w:val="007D1A15"/>
    <w:rsid w:val="007D1CFC"/>
    <w:rsid w:val="007D5DF0"/>
    <w:rsid w:val="007D7B46"/>
    <w:rsid w:val="007E4131"/>
    <w:rsid w:val="007F45D2"/>
    <w:rsid w:val="00812804"/>
    <w:rsid w:val="0082386C"/>
    <w:rsid w:val="00824A1C"/>
    <w:rsid w:val="00827553"/>
    <w:rsid w:val="008610A8"/>
    <w:rsid w:val="00881C94"/>
    <w:rsid w:val="00891797"/>
    <w:rsid w:val="008C5C87"/>
    <w:rsid w:val="008F41B9"/>
    <w:rsid w:val="009011E9"/>
    <w:rsid w:val="009175EF"/>
    <w:rsid w:val="00937BAB"/>
    <w:rsid w:val="00942836"/>
    <w:rsid w:val="0094622F"/>
    <w:rsid w:val="00951552"/>
    <w:rsid w:val="00963FCB"/>
    <w:rsid w:val="009C0584"/>
    <w:rsid w:val="009C2E2F"/>
    <w:rsid w:val="009E3EF6"/>
    <w:rsid w:val="009E7E7F"/>
    <w:rsid w:val="00A46BFC"/>
    <w:rsid w:val="00A50481"/>
    <w:rsid w:val="00A548DC"/>
    <w:rsid w:val="00A92218"/>
    <w:rsid w:val="00AA4DBC"/>
    <w:rsid w:val="00AA569C"/>
    <w:rsid w:val="00AC1E6A"/>
    <w:rsid w:val="00AC5486"/>
    <w:rsid w:val="00AE2DAA"/>
    <w:rsid w:val="00AE6C49"/>
    <w:rsid w:val="00AF1838"/>
    <w:rsid w:val="00AF434E"/>
    <w:rsid w:val="00B1419B"/>
    <w:rsid w:val="00B215C5"/>
    <w:rsid w:val="00B65E41"/>
    <w:rsid w:val="00B73070"/>
    <w:rsid w:val="00B80C55"/>
    <w:rsid w:val="00B87E0E"/>
    <w:rsid w:val="00B94C5D"/>
    <w:rsid w:val="00B97D51"/>
    <w:rsid w:val="00BA02E4"/>
    <w:rsid w:val="00BA1AD8"/>
    <w:rsid w:val="00BC7D7F"/>
    <w:rsid w:val="00BD463B"/>
    <w:rsid w:val="00BE40A8"/>
    <w:rsid w:val="00C347CF"/>
    <w:rsid w:val="00C36B68"/>
    <w:rsid w:val="00C43839"/>
    <w:rsid w:val="00C44C5B"/>
    <w:rsid w:val="00C57AF6"/>
    <w:rsid w:val="00C634D3"/>
    <w:rsid w:val="00C666DC"/>
    <w:rsid w:val="00CA2CC6"/>
    <w:rsid w:val="00CB4076"/>
    <w:rsid w:val="00CD66C9"/>
    <w:rsid w:val="00CE242B"/>
    <w:rsid w:val="00CE290C"/>
    <w:rsid w:val="00CE6AE9"/>
    <w:rsid w:val="00CF35E1"/>
    <w:rsid w:val="00D0429F"/>
    <w:rsid w:val="00D447CE"/>
    <w:rsid w:val="00D46938"/>
    <w:rsid w:val="00D5578E"/>
    <w:rsid w:val="00D75ED8"/>
    <w:rsid w:val="00DA1721"/>
    <w:rsid w:val="00DA610E"/>
    <w:rsid w:val="00DA6AB6"/>
    <w:rsid w:val="00DF3A93"/>
    <w:rsid w:val="00DF4EA9"/>
    <w:rsid w:val="00E057A7"/>
    <w:rsid w:val="00E05EEE"/>
    <w:rsid w:val="00E1309B"/>
    <w:rsid w:val="00E702F6"/>
    <w:rsid w:val="00E87597"/>
    <w:rsid w:val="00E94EEF"/>
    <w:rsid w:val="00EB317F"/>
    <w:rsid w:val="00EB49D8"/>
    <w:rsid w:val="00EE3307"/>
    <w:rsid w:val="00EE563A"/>
    <w:rsid w:val="00EF263D"/>
    <w:rsid w:val="00F153FC"/>
    <w:rsid w:val="00F21B49"/>
    <w:rsid w:val="00F24D20"/>
    <w:rsid w:val="00F330E2"/>
    <w:rsid w:val="00F62AFE"/>
    <w:rsid w:val="00F75B7A"/>
    <w:rsid w:val="00F80F64"/>
    <w:rsid w:val="00FB615F"/>
    <w:rsid w:val="00FC5617"/>
    <w:rsid w:val="00FC6C15"/>
    <w:rsid w:val="00FE0618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7CF"/>
    <w:pPr>
      <w:tabs>
        <w:tab w:val="left" w:pos="1560"/>
      </w:tabs>
      <w:suppressAutoHyphens/>
      <w:jc w:val="center"/>
    </w:pPr>
    <w:rPr>
      <w:b/>
      <w:sz w:val="18"/>
      <w:lang w:eastAsia="ar-SA"/>
    </w:rPr>
  </w:style>
  <w:style w:type="paragraph" w:styleId="1">
    <w:name w:val="heading 1"/>
    <w:basedOn w:val="a"/>
    <w:next w:val="a"/>
    <w:qFormat/>
    <w:rsid w:val="00CE242B"/>
    <w:pPr>
      <w:keepNext/>
      <w:tabs>
        <w:tab w:val="num" w:pos="432"/>
      </w:tabs>
      <w:ind w:left="216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CE242B"/>
    <w:pPr>
      <w:keepNext/>
      <w:tabs>
        <w:tab w:val="num" w:pos="576"/>
      </w:tabs>
      <w:ind w:left="576" w:hanging="576"/>
      <w:outlineLvl w:val="1"/>
    </w:pPr>
    <w:rPr>
      <w:sz w:val="44"/>
      <w:lang w:val="en-US"/>
    </w:rPr>
  </w:style>
  <w:style w:type="paragraph" w:styleId="3">
    <w:name w:val="heading 3"/>
    <w:basedOn w:val="a"/>
    <w:next w:val="a"/>
    <w:qFormat/>
    <w:rsid w:val="00CE242B"/>
    <w:pPr>
      <w:keepNext/>
      <w:tabs>
        <w:tab w:val="num" w:pos="720"/>
      </w:tabs>
      <w:ind w:left="720" w:hanging="720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42B"/>
  </w:style>
  <w:style w:type="character" w:customStyle="1" w:styleId="WW-Absatz-Standardschriftart">
    <w:name w:val="WW-Absatz-Standardschriftart"/>
    <w:rsid w:val="00CE242B"/>
  </w:style>
  <w:style w:type="character" w:customStyle="1" w:styleId="WW-Absatz-Standardschriftart1">
    <w:name w:val="WW-Absatz-Standardschriftart1"/>
    <w:rsid w:val="00CE242B"/>
  </w:style>
  <w:style w:type="character" w:customStyle="1" w:styleId="WW-Absatz-Standardschriftart11">
    <w:name w:val="WW-Absatz-Standardschriftart11"/>
    <w:rsid w:val="00CE242B"/>
  </w:style>
  <w:style w:type="character" w:customStyle="1" w:styleId="WW-Absatz-Standardschriftart111">
    <w:name w:val="WW-Absatz-Standardschriftart111"/>
    <w:rsid w:val="00CE242B"/>
  </w:style>
  <w:style w:type="character" w:customStyle="1" w:styleId="WW-Absatz-Standardschriftart1111">
    <w:name w:val="WW-Absatz-Standardschriftart1111"/>
    <w:rsid w:val="00CE242B"/>
  </w:style>
  <w:style w:type="character" w:customStyle="1" w:styleId="WW-Absatz-Standardschriftart11111">
    <w:name w:val="WW-Absatz-Standardschriftart11111"/>
    <w:rsid w:val="00CE242B"/>
  </w:style>
  <w:style w:type="character" w:customStyle="1" w:styleId="WW-Absatz-Standardschriftart111111">
    <w:name w:val="WW-Absatz-Standardschriftart111111"/>
    <w:rsid w:val="00CE242B"/>
  </w:style>
  <w:style w:type="character" w:customStyle="1" w:styleId="10">
    <w:name w:val="Основной шрифт абзаца1"/>
    <w:rsid w:val="00CE242B"/>
  </w:style>
  <w:style w:type="paragraph" w:customStyle="1" w:styleId="a3">
    <w:name w:val="Заголовок"/>
    <w:basedOn w:val="a"/>
    <w:next w:val="a4"/>
    <w:rsid w:val="00CE24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CE242B"/>
    <w:pPr>
      <w:spacing w:after="120"/>
    </w:pPr>
  </w:style>
  <w:style w:type="paragraph" w:styleId="a5">
    <w:name w:val="List"/>
    <w:basedOn w:val="a4"/>
    <w:rsid w:val="00CE242B"/>
    <w:rPr>
      <w:rFonts w:ascii="Arial" w:hAnsi="Arial" w:cs="Tahoma"/>
    </w:rPr>
  </w:style>
  <w:style w:type="paragraph" w:customStyle="1" w:styleId="11">
    <w:name w:val="Название1"/>
    <w:basedOn w:val="a"/>
    <w:rsid w:val="00CE24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E242B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CE242B"/>
  </w:style>
  <w:style w:type="character" w:customStyle="1" w:styleId="apple-style-span">
    <w:name w:val="apple-style-span"/>
    <w:basedOn w:val="a0"/>
    <w:rsid w:val="00D447CE"/>
  </w:style>
  <w:style w:type="character" w:customStyle="1" w:styleId="apple-converted-space">
    <w:name w:val="apple-converted-space"/>
    <w:basedOn w:val="a0"/>
    <w:rsid w:val="00D447CE"/>
  </w:style>
  <w:style w:type="character" w:styleId="a7">
    <w:name w:val="Hyperlink"/>
    <w:basedOn w:val="a0"/>
    <w:unhideWhenUsed/>
    <w:rsid w:val="00D447CE"/>
    <w:rPr>
      <w:color w:val="0000FF"/>
      <w:u w:val="single"/>
    </w:rPr>
  </w:style>
  <w:style w:type="paragraph" w:styleId="a8">
    <w:name w:val="Balloon Text"/>
    <w:basedOn w:val="a"/>
    <w:link w:val="a9"/>
    <w:rsid w:val="00F15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53FC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C5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544E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44E5F"/>
    <w:rPr>
      <w:lang w:eastAsia="ar-SA"/>
    </w:rPr>
  </w:style>
  <w:style w:type="paragraph" w:customStyle="1" w:styleId="ConsNonformat">
    <w:name w:val="ConsNonformat"/>
    <w:rsid w:val="00544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44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B317F"/>
    <w:pPr>
      <w:ind w:left="720"/>
      <w:contextualSpacing/>
    </w:pPr>
  </w:style>
  <w:style w:type="table" w:styleId="ab">
    <w:name w:val="Table Grid"/>
    <w:basedOn w:val="a1"/>
    <w:uiPriority w:val="59"/>
    <w:rsid w:val="00B215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er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ЕРМАКОВСКОЕ    МУП   ЖКХ</vt:lpstr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ЕРМАКОВСКОЕ    МУП   ЖКХ</dc:title>
  <dc:subject/>
  <dc:creator>Корниенкова Любовь Николаевна</dc:creator>
  <cp:keywords/>
  <cp:lastModifiedBy>User</cp:lastModifiedBy>
  <cp:revision>2</cp:revision>
  <cp:lastPrinted>2015-10-21T01:35:00Z</cp:lastPrinted>
  <dcterms:created xsi:type="dcterms:W3CDTF">2016-12-02T03:24:00Z</dcterms:created>
  <dcterms:modified xsi:type="dcterms:W3CDTF">2016-12-02T03:24:00Z</dcterms:modified>
</cp:coreProperties>
</file>